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79E17" w14:textId="3004235F" w:rsidR="00BC0E34" w:rsidRDefault="00943475" w:rsidP="005D77E5">
      <w:pPr>
        <w:pStyle w:val="ListParagraph"/>
        <w:ind w:left="0"/>
        <w:jc w:val="center"/>
        <w:rPr>
          <w:b/>
          <w:bCs/>
          <w:sz w:val="32"/>
          <w:szCs w:val="32"/>
        </w:rPr>
      </w:pPr>
      <w:r>
        <w:rPr>
          <w:b/>
          <w:bCs/>
          <w:sz w:val="32"/>
          <w:szCs w:val="32"/>
        </w:rPr>
        <w:t>BMT/Cellular Therapy CRT Collaboration</w:t>
      </w:r>
    </w:p>
    <w:p w14:paraId="12A16E38" w14:textId="52B0318B" w:rsidR="005D77E5" w:rsidRPr="005D77E5" w:rsidRDefault="005D77E5" w:rsidP="005D77E5">
      <w:pPr>
        <w:pStyle w:val="ListParagraph"/>
        <w:ind w:left="0"/>
        <w:jc w:val="center"/>
        <w:rPr>
          <w:b/>
          <w:bCs/>
          <w:sz w:val="18"/>
          <w:szCs w:val="18"/>
        </w:rPr>
      </w:pPr>
      <w:r>
        <w:rPr>
          <w:b/>
          <w:bCs/>
          <w:sz w:val="18"/>
          <w:szCs w:val="18"/>
        </w:rPr>
        <w:t xml:space="preserve">Ver </w:t>
      </w:r>
      <w:r w:rsidR="002A7F40">
        <w:rPr>
          <w:b/>
          <w:bCs/>
          <w:sz w:val="18"/>
          <w:szCs w:val="18"/>
        </w:rPr>
        <w:t>1</w:t>
      </w:r>
      <w:r w:rsidR="00943475">
        <w:rPr>
          <w:b/>
          <w:bCs/>
          <w:sz w:val="18"/>
          <w:szCs w:val="18"/>
        </w:rPr>
        <w:t>.0</w:t>
      </w:r>
      <w:r>
        <w:rPr>
          <w:b/>
          <w:bCs/>
          <w:sz w:val="18"/>
          <w:szCs w:val="18"/>
        </w:rPr>
        <w:t xml:space="preserve">; revised </w:t>
      </w:r>
      <w:r w:rsidR="009325B8">
        <w:rPr>
          <w:b/>
          <w:bCs/>
          <w:sz w:val="18"/>
          <w:szCs w:val="18"/>
        </w:rPr>
        <w:t>6</w:t>
      </w:r>
      <w:r w:rsidR="000D6CC2">
        <w:rPr>
          <w:b/>
          <w:bCs/>
          <w:sz w:val="18"/>
          <w:szCs w:val="18"/>
        </w:rPr>
        <w:t>/</w:t>
      </w:r>
      <w:r w:rsidR="00AF4255">
        <w:rPr>
          <w:b/>
          <w:bCs/>
          <w:sz w:val="18"/>
          <w:szCs w:val="18"/>
        </w:rPr>
        <w:t>1</w:t>
      </w:r>
      <w:r w:rsidR="009325B8">
        <w:rPr>
          <w:b/>
          <w:bCs/>
          <w:sz w:val="18"/>
          <w:szCs w:val="18"/>
        </w:rPr>
        <w:t>4</w:t>
      </w:r>
      <w:r w:rsidR="000D6CC2">
        <w:rPr>
          <w:b/>
          <w:bCs/>
          <w:sz w:val="18"/>
          <w:szCs w:val="18"/>
        </w:rPr>
        <w:t>/202</w:t>
      </w:r>
      <w:r w:rsidR="00943475">
        <w:rPr>
          <w:b/>
          <w:bCs/>
          <w:sz w:val="18"/>
          <w:szCs w:val="18"/>
        </w:rPr>
        <w:t>4</w:t>
      </w:r>
    </w:p>
    <w:p w14:paraId="1A49D1C3" w14:textId="77777777" w:rsidR="00417E6B" w:rsidRDefault="00417E6B" w:rsidP="00417E6B">
      <w:pPr>
        <w:spacing w:after="120"/>
      </w:pPr>
    </w:p>
    <w:p w14:paraId="01C54CA8" w14:textId="066B1902" w:rsidR="00417E6B" w:rsidRPr="003E5CE7" w:rsidRDefault="00652A1C" w:rsidP="00417E6B">
      <w:pPr>
        <w:spacing w:after="120"/>
        <w:rPr>
          <w:b/>
          <w:bCs/>
        </w:rPr>
      </w:pPr>
      <w:r w:rsidRPr="003E5CE7">
        <w:rPr>
          <w:b/>
          <w:bCs/>
        </w:rPr>
        <w:t>1. Read the Protocol to Identify Support</w:t>
      </w:r>
    </w:p>
    <w:tbl>
      <w:tblPr>
        <w:tblStyle w:val="GridTable4-Accent6"/>
        <w:tblW w:w="10525" w:type="dxa"/>
        <w:tblLook w:val="04A0" w:firstRow="1" w:lastRow="0" w:firstColumn="1" w:lastColumn="0" w:noHBand="0" w:noVBand="1"/>
      </w:tblPr>
      <w:tblGrid>
        <w:gridCol w:w="2292"/>
        <w:gridCol w:w="6162"/>
        <w:gridCol w:w="2071"/>
      </w:tblGrid>
      <w:tr w:rsidR="00BF7113" w14:paraId="78F66985" w14:textId="5CD90C8B" w:rsidTr="00BF7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Borders>
              <w:top w:val="single" w:sz="4" w:space="0" w:color="auto"/>
              <w:left w:val="single" w:sz="4" w:space="0" w:color="auto"/>
              <w:bottom w:val="single" w:sz="4" w:space="0" w:color="auto"/>
              <w:right w:val="single" w:sz="4" w:space="0" w:color="auto"/>
            </w:tcBorders>
            <w:shd w:val="clear" w:color="auto" w:fill="517D33"/>
          </w:tcPr>
          <w:p w14:paraId="7A111E5E" w14:textId="205E48AA" w:rsidR="00BF7113" w:rsidRPr="003E5CE7" w:rsidRDefault="00BF7113" w:rsidP="00BF7113">
            <w:pPr>
              <w:spacing w:after="120"/>
              <w:jc w:val="center"/>
              <w:rPr>
                <w:sz w:val="21"/>
                <w:szCs w:val="21"/>
              </w:rPr>
            </w:pPr>
            <w:r w:rsidRPr="003E5CE7">
              <w:rPr>
                <w:sz w:val="21"/>
                <w:szCs w:val="21"/>
              </w:rPr>
              <w:t>Population / Departments</w:t>
            </w:r>
          </w:p>
        </w:tc>
        <w:tc>
          <w:tcPr>
            <w:tcW w:w="6162" w:type="dxa"/>
            <w:tcBorders>
              <w:top w:val="single" w:sz="4" w:space="0" w:color="auto"/>
              <w:left w:val="single" w:sz="4" w:space="0" w:color="auto"/>
              <w:bottom w:val="single" w:sz="4" w:space="0" w:color="auto"/>
              <w:right w:val="single" w:sz="4" w:space="0" w:color="auto"/>
            </w:tcBorders>
            <w:shd w:val="clear" w:color="auto" w:fill="517D33"/>
          </w:tcPr>
          <w:p w14:paraId="7DC6F561" w14:textId="3C0066D9" w:rsidR="00BF7113" w:rsidRDefault="00BF7113" w:rsidP="00BF7113">
            <w:pPr>
              <w:spacing w:after="120"/>
              <w:jc w:val="center"/>
              <w:cnfStyle w:val="100000000000" w:firstRow="1" w:lastRow="0" w:firstColumn="0" w:lastColumn="0" w:oddVBand="0" w:evenVBand="0" w:oddHBand="0" w:evenHBand="0" w:firstRowFirstColumn="0" w:firstRowLastColumn="0" w:lastRowFirstColumn="0" w:lastRowLastColumn="0"/>
            </w:pPr>
            <w:r>
              <w:t>Industry Phrases</w:t>
            </w:r>
          </w:p>
        </w:tc>
        <w:tc>
          <w:tcPr>
            <w:tcW w:w="2071" w:type="dxa"/>
            <w:tcBorders>
              <w:top w:val="single" w:sz="4" w:space="0" w:color="auto"/>
              <w:left w:val="single" w:sz="4" w:space="0" w:color="auto"/>
              <w:bottom w:val="single" w:sz="4" w:space="0" w:color="auto"/>
              <w:right w:val="single" w:sz="4" w:space="0" w:color="auto"/>
            </w:tcBorders>
            <w:shd w:val="clear" w:color="auto" w:fill="517D33"/>
          </w:tcPr>
          <w:p w14:paraId="329BC328" w14:textId="77777777" w:rsidR="00BF7113" w:rsidRDefault="00BF7113" w:rsidP="00BF7113">
            <w:pPr>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IBC Requirement</w:t>
            </w:r>
          </w:p>
          <w:p w14:paraId="0DC31966" w14:textId="3646CE4D" w:rsidR="00BF7113" w:rsidRPr="00BF7113" w:rsidRDefault="00BF7113" w:rsidP="00BF7113">
            <w:pPr>
              <w:spacing w:after="120"/>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BF7113">
              <w:rPr>
                <w:b w:val="0"/>
                <w:bCs w:val="0"/>
                <w:sz w:val="18"/>
                <w:szCs w:val="18"/>
              </w:rPr>
              <w:t>IBCsupport@miami.edu</w:t>
            </w:r>
          </w:p>
        </w:tc>
      </w:tr>
      <w:tr w:rsidR="00BF7113" w14:paraId="317D2FA2" w14:textId="10B21CEC" w:rsidTr="00BF711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2292" w:type="dxa"/>
            <w:vMerge w:val="restart"/>
            <w:tcBorders>
              <w:top w:val="single" w:sz="4" w:space="0" w:color="auto"/>
              <w:left w:val="single" w:sz="4" w:space="0" w:color="auto"/>
              <w:right w:val="single" w:sz="4" w:space="0" w:color="auto"/>
            </w:tcBorders>
            <w:shd w:val="clear" w:color="auto" w:fill="F4B083" w:themeFill="accent2" w:themeFillTint="99"/>
          </w:tcPr>
          <w:p w14:paraId="37D2AFD1" w14:textId="77777777" w:rsidR="00BF7113" w:rsidRDefault="00BF7113" w:rsidP="00417E6B">
            <w:pPr>
              <w:spacing w:after="120"/>
              <w:rPr>
                <w:b w:val="0"/>
                <w:bCs w:val="0"/>
              </w:rPr>
            </w:pPr>
            <w:r>
              <w:t>Adult</w:t>
            </w:r>
          </w:p>
          <w:p w14:paraId="16C13C3E" w14:textId="77777777" w:rsidR="00BF7113" w:rsidRDefault="00BF7113" w:rsidP="00417E6B">
            <w:pPr>
              <w:spacing w:after="120"/>
              <w:rPr>
                <w:b w:val="0"/>
                <w:bCs w:val="0"/>
              </w:rPr>
            </w:pPr>
            <w:r>
              <w:t xml:space="preserve">Pediatric – 18+ </w:t>
            </w:r>
            <w:proofErr w:type="spellStart"/>
            <w:r>
              <w:t>yo</w:t>
            </w:r>
            <w:proofErr w:type="spellEnd"/>
          </w:p>
          <w:p w14:paraId="203B0A28" w14:textId="517B838D" w:rsidR="00BF7113" w:rsidRDefault="00BF7113" w:rsidP="00417E6B">
            <w:pPr>
              <w:spacing w:after="120"/>
            </w:pPr>
            <w:r>
              <w:t>MSOM Pipeline Trials</w:t>
            </w:r>
          </w:p>
        </w:tc>
        <w:tc>
          <w:tcPr>
            <w:tcW w:w="616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401574F" w14:textId="1773333A" w:rsidR="00BF7113" w:rsidRDefault="00BF7113" w:rsidP="00417E6B">
            <w:pPr>
              <w:spacing w:after="120"/>
              <w:cnfStyle w:val="000000100000" w:firstRow="0" w:lastRow="0" w:firstColumn="0" w:lastColumn="0" w:oddVBand="0" w:evenVBand="0" w:oddHBand="1" w:evenHBand="0" w:firstRowFirstColumn="0" w:firstRowLastColumn="0" w:lastRowFirstColumn="0" w:lastRowLastColumn="0"/>
            </w:pPr>
            <w:r>
              <w:t>Autologous T-Cell Receptor Engineered T-Cells</w:t>
            </w:r>
          </w:p>
        </w:tc>
        <w:tc>
          <w:tcPr>
            <w:tcW w:w="207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C0C4C6C" w14:textId="01B20D23" w:rsidR="00BF7113" w:rsidRDefault="00BF7113" w:rsidP="00417E6B">
            <w:pPr>
              <w:spacing w:after="120"/>
              <w:cnfStyle w:val="000000100000" w:firstRow="0" w:lastRow="0" w:firstColumn="0" w:lastColumn="0" w:oddVBand="0" w:evenVBand="0" w:oddHBand="1" w:evenHBand="0" w:firstRowFirstColumn="0" w:firstRowLastColumn="0" w:lastRowFirstColumn="0" w:lastRowLastColumn="0"/>
            </w:pPr>
            <w:r>
              <w:t>Yes</w:t>
            </w:r>
          </w:p>
        </w:tc>
      </w:tr>
      <w:tr w:rsidR="00BF7113" w14:paraId="0720B702" w14:textId="77777777">
        <w:trPr>
          <w:trHeight w:val="50"/>
        </w:trPr>
        <w:tc>
          <w:tcPr>
            <w:cnfStyle w:val="001000000000" w:firstRow="0" w:lastRow="0" w:firstColumn="1" w:lastColumn="0" w:oddVBand="0" w:evenVBand="0" w:oddHBand="0" w:evenHBand="0" w:firstRowFirstColumn="0" w:firstRowLastColumn="0" w:lastRowFirstColumn="0" w:lastRowLastColumn="0"/>
            <w:tcW w:w="2292" w:type="dxa"/>
            <w:vMerge/>
            <w:tcBorders>
              <w:left w:val="single" w:sz="4" w:space="0" w:color="auto"/>
              <w:right w:val="single" w:sz="4" w:space="0" w:color="auto"/>
            </w:tcBorders>
            <w:shd w:val="clear" w:color="auto" w:fill="F4B083" w:themeFill="accent2" w:themeFillTint="99"/>
          </w:tcPr>
          <w:p w14:paraId="00263E36" w14:textId="77777777" w:rsidR="00BF7113" w:rsidRDefault="00BF7113" w:rsidP="00417E6B">
            <w:pPr>
              <w:spacing w:after="120"/>
            </w:pPr>
          </w:p>
        </w:tc>
        <w:tc>
          <w:tcPr>
            <w:tcW w:w="616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62D4374" w14:textId="564749C8" w:rsidR="00BF7113" w:rsidRDefault="00BF7113" w:rsidP="00417E6B">
            <w:pPr>
              <w:spacing w:after="120"/>
              <w:cnfStyle w:val="000000000000" w:firstRow="0" w:lastRow="0" w:firstColumn="0" w:lastColumn="0" w:oddVBand="0" w:evenVBand="0" w:oddHBand="0" w:evenHBand="0" w:firstRowFirstColumn="0" w:firstRowLastColumn="0" w:lastRowFirstColumn="0" w:lastRowLastColumn="0"/>
            </w:pPr>
            <w:r>
              <w:t xml:space="preserve">Autologous Cell Therapy Product </w:t>
            </w:r>
          </w:p>
        </w:tc>
        <w:tc>
          <w:tcPr>
            <w:tcW w:w="207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181AEEE" w14:textId="3EB53118" w:rsidR="00BF7113" w:rsidRDefault="00BF7113" w:rsidP="00417E6B">
            <w:pPr>
              <w:spacing w:after="120"/>
              <w:cnfStyle w:val="000000000000" w:firstRow="0" w:lastRow="0" w:firstColumn="0" w:lastColumn="0" w:oddVBand="0" w:evenVBand="0" w:oddHBand="0" w:evenHBand="0" w:firstRowFirstColumn="0" w:firstRowLastColumn="0" w:lastRowFirstColumn="0" w:lastRowLastColumn="0"/>
            </w:pPr>
            <w:r>
              <w:t>Yes</w:t>
            </w:r>
          </w:p>
        </w:tc>
      </w:tr>
      <w:tr w:rsidR="00BF7113" w14:paraId="3D0217E2"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92" w:type="dxa"/>
            <w:vMerge/>
            <w:tcBorders>
              <w:left w:val="single" w:sz="4" w:space="0" w:color="auto"/>
              <w:right w:val="single" w:sz="4" w:space="0" w:color="auto"/>
            </w:tcBorders>
            <w:shd w:val="clear" w:color="auto" w:fill="F4B083" w:themeFill="accent2" w:themeFillTint="99"/>
          </w:tcPr>
          <w:p w14:paraId="33C233A5" w14:textId="77777777" w:rsidR="00BF7113" w:rsidRDefault="00BF7113" w:rsidP="00417E6B">
            <w:pPr>
              <w:spacing w:after="120"/>
            </w:pPr>
          </w:p>
        </w:tc>
        <w:tc>
          <w:tcPr>
            <w:tcW w:w="616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C440BB8" w14:textId="277D0B4D" w:rsidR="00BF7113" w:rsidRDefault="00BF7113" w:rsidP="00417E6B">
            <w:pPr>
              <w:spacing w:after="120"/>
              <w:cnfStyle w:val="000000100000" w:firstRow="0" w:lastRow="0" w:firstColumn="0" w:lastColumn="0" w:oddVBand="0" w:evenVBand="0" w:oddHBand="1" w:evenHBand="0" w:firstRowFirstColumn="0" w:firstRowLastColumn="0" w:lastRowFirstColumn="0" w:lastRowLastColumn="0"/>
            </w:pPr>
            <w:r>
              <w:t>Allogenic CAR-T T-Cell Therapy</w:t>
            </w:r>
          </w:p>
        </w:tc>
        <w:tc>
          <w:tcPr>
            <w:tcW w:w="207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9827653" w14:textId="60843F13" w:rsidR="00BF7113" w:rsidRDefault="00BF7113" w:rsidP="00417E6B">
            <w:pPr>
              <w:spacing w:after="120"/>
              <w:cnfStyle w:val="000000100000" w:firstRow="0" w:lastRow="0" w:firstColumn="0" w:lastColumn="0" w:oddVBand="0" w:evenVBand="0" w:oddHBand="1" w:evenHBand="0" w:firstRowFirstColumn="0" w:firstRowLastColumn="0" w:lastRowFirstColumn="0" w:lastRowLastColumn="0"/>
            </w:pPr>
            <w:r>
              <w:t>Yes</w:t>
            </w:r>
          </w:p>
        </w:tc>
      </w:tr>
      <w:tr w:rsidR="00BF7113" w14:paraId="632264F2" w14:textId="77777777">
        <w:trPr>
          <w:trHeight w:val="50"/>
        </w:trPr>
        <w:tc>
          <w:tcPr>
            <w:cnfStyle w:val="001000000000" w:firstRow="0" w:lastRow="0" w:firstColumn="1" w:lastColumn="0" w:oddVBand="0" w:evenVBand="0" w:oddHBand="0" w:evenHBand="0" w:firstRowFirstColumn="0" w:firstRowLastColumn="0" w:lastRowFirstColumn="0" w:lastRowLastColumn="0"/>
            <w:tcW w:w="2292" w:type="dxa"/>
            <w:vMerge/>
            <w:tcBorders>
              <w:left w:val="single" w:sz="4" w:space="0" w:color="auto"/>
              <w:right w:val="single" w:sz="4" w:space="0" w:color="auto"/>
            </w:tcBorders>
            <w:shd w:val="clear" w:color="auto" w:fill="F4B083" w:themeFill="accent2" w:themeFillTint="99"/>
          </w:tcPr>
          <w:p w14:paraId="2753F20C" w14:textId="77777777" w:rsidR="00BF7113" w:rsidRDefault="00BF7113" w:rsidP="00417E6B">
            <w:pPr>
              <w:spacing w:after="120"/>
            </w:pPr>
          </w:p>
        </w:tc>
        <w:tc>
          <w:tcPr>
            <w:tcW w:w="616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A798CC0" w14:textId="517CB8EA" w:rsidR="00BF7113" w:rsidRDefault="00BF7113" w:rsidP="00417E6B">
            <w:pPr>
              <w:spacing w:after="120"/>
              <w:cnfStyle w:val="000000000000" w:firstRow="0" w:lastRow="0" w:firstColumn="0" w:lastColumn="0" w:oddVBand="0" w:evenVBand="0" w:oddHBand="0" w:evenHBand="0" w:firstRowFirstColumn="0" w:firstRowLastColumn="0" w:lastRowFirstColumn="0" w:lastRowLastColumn="0"/>
            </w:pPr>
            <w:r>
              <w:t>Universal Donor NK Cell infusions</w:t>
            </w:r>
          </w:p>
        </w:tc>
        <w:tc>
          <w:tcPr>
            <w:tcW w:w="207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4198C27" w14:textId="04728858" w:rsidR="00BF7113" w:rsidRDefault="00E40EE2" w:rsidP="00417E6B">
            <w:pPr>
              <w:spacing w:after="120"/>
              <w:cnfStyle w:val="000000000000" w:firstRow="0" w:lastRow="0" w:firstColumn="0" w:lastColumn="0" w:oddVBand="0" w:evenVBand="0" w:oddHBand="0" w:evenHBand="0" w:firstRowFirstColumn="0" w:firstRowLastColumn="0" w:lastRowFirstColumn="0" w:lastRowLastColumn="0"/>
            </w:pPr>
            <w:r>
              <w:t>Subject to IBC</w:t>
            </w:r>
          </w:p>
        </w:tc>
      </w:tr>
      <w:tr w:rsidR="00BF7113" w14:paraId="06991176"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92" w:type="dxa"/>
            <w:vMerge/>
            <w:tcBorders>
              <w:left w:val="single" w:sz="4" w:space="0" w:color="auto"/>
              <w:right w:val="single" w:sz="4" w:space="0" w:color="auto"/>
            </w:tcBorders>
            <w:shd w:val="clear" w:color="auto" w:fill="F4B083" w:themeFill="accent2" w:themeFillTint="99"/>
          </w:tcPr>
          <w:p w14:paraId="6D275981" w14:textId="77777777" w:rsidR="00BF7113" w:rsidRDefault="00BF7113" w:rsidP="00417E6B">
            <w:pPr>
              <w:spacing w:after="120"/>
            </w:pPr>
          </w:p>
        </w:tc>
        <w:tc>
          <w:tcPr>
            <w:tcW w:w="616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9A193E4" w14:textId="7CB809B3" w:rsidR="00BF7113" w:rsidRDefault="00BF7113" w:rsidP="00417E6B">
            <w:pPr>
              <w:spacing w:after="120"/>
              <w:cnfStyle w:val="000000100000" w:firstRow="0" w:lastRow="0" w:firstColumn="0" w:lastColumn="0" w:oddVBand="0" w:evenVBand="0" w:oddHBand="1" w:evenHBand="0" w:firstRowFirstColumn="0" w:firstRowLastColumn="0" w:lastRowFirstColumn="0" w:lastRowLastColumn="0"/>
            </w:pPr>
            <w:r>
              <w:t xml:space="preserve">Neoantigen-specific effector T-cells </w:t>
            </w:r>
          </w:p>
        </w:tc>
        <w:tc>
          <w:tcPr>
            <w:tcW w:w="207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6B34633" w14:textId="024D4523" w:rsidR="00BF7113" w:rsidRDefault="00E40EE2" w:rsidP="00417E6B">
            <w:pPr>
              <w:spacing w:after="120"/>
              <w:cnfStyle w:val="000000100000" w:firstRow="0" w:lastRow="0" w:firstColumn="0" w:lastColumn="0" w:oddVBand="0" w:evenVBand="0" w:oddHBand="1" w:evenHBand="0" w:firstRowFirstColumn="0" w:firstRowLastColumn="0" w:lastRowFirstColumn="0" w:lastRowLastColumn="0"/>
            </w:pPr>
            <w:r>
              <w:t>Subject to IBC</w:t>
            </w:r>
          </w:p>
        </w:tc>
      </w:tr>
      <w:tr w:rsidR="00BF7113" w14:paraId="027BFEA9" w14:textId="77777777">
        <w:trPr>
          <w:trHeight w:val="50"/>
        </w:trPr>
        <w:tc>
          <w:tcPr>
            <w:cnfStyle w:val="001000000000" w:firstRow="0" w:lastRow="0" w:firstColumn="1" w:lastColumn="0" w:oddVBand="0" w:evenVBand="0" w:oddHBand="0" w:evenHBand="0" w:firstRowFirstColumn="0" w:firstRowLastColumn="0" w:lastRowFirstColumn="0" w:lastRowLastColumn="0"/>
            <w:tcW w:w="2292" w:type="dxa"/>
            <w:vMerge/>
            <w:tcBorders>
              <w:left w:val="single" w:sz="4" w:space="0" w:color="auto"/>
              <w:right w:val="single" w:sz="4" w:space="0" w:color="auto"/>
            </w:tcBorders>
            <w:shd w:val="clear" w:color="auto" w:fill="F4B083" w:themeFill="accent2" w:themeFillTint="99"/>
          </w:tcPr>
          <w:p w14:paraId="1412F42D" w14:textId="77777777" w:rsidR="00BF7113" w:rsidRDefault="00BF7113" w:rsidP="00417E6B">
            <w:pPr>
              <w:spacing w:after="120"/>
            </w:pPr>
          </w:p>
        </w:tc>
        <w:tc>
          <w:tcPr>
            <w:tcW w:w="616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2E1F57" w14:textId="2762C425" w:rsidR="00BF7113" w:rsidRDefault="00BF7113" w:rsidP="00417E6B">
            <w:pPr>
              <w:spacing w:after="120"/>
              <w:cnfStyle w:val="000000000000" w:firstRow="0" w:lastRow="0" w:firstColumn="0" w:lastColumn="0" w:oddVBand="0" w:evenVBand="0" w:oddHBand="0" w:evenHBand="0" w:firstRowFirstColumn="0" w:firstRowLastColumn="0" w:lastRowFirstColumn="0" w:lastRowLastColumn="0"/>
            </w:pPr>
            <w:r>
              <w:t>Immune Effector Cells</w:t>
            </w:r>
          </w:p>
        </w:tc>
        <w:tc>
          <w:tcPr>
            <w:tcW w:w="207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27520E7" w14:textId="116FC4AC" w:rsidR="00BF7113" w:rsidRDefault="00E40EE2" w:rsidP="00417E6B">
            <w:pPr>
              <w:spacing w:after="120"/>
              <w:cnfStyle w:val="000000000000" w:firstRow="0" w:lastRow="0" w:firstColumn="0" w:lastColumn="0" w:oddVBand="0" w:evenVBand="0" w:oddHBand="0" w:evenHBand="0" w:firstRowFirstColumn="0" w:firstRowLastColumn="0" w:lastRowFirstColumn="0" w:lastRowLastColumn="0"/>
            </w:pPr>
            <w:r>
              <w:t>Subject to IBC</w:t>
            </w:r>
          </w:p>
        </w:tc>
      </w:tr>
      <w:tr w:rsidR="00BF7113" w14:paraId="6651FC78"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92" w:type="dxa"/>
            <w:vMerge/>
            <w:tcBorders>
              <w:left w:val="single" w:sz="4" w:space="0" w:color="auto"/>
              <w:right w:val="single" w:sz="4" w:space="0" w:color="auto"/>
            </w:tcBorders>
            <w:shd w:val="clear" w:color="auto" w:fill="F4B083" w:themeFill="accent2" w:themeFillTint="99"/>
          </w:tcPr>
          <w:p w14:paraId="53A1F0FE" w14:textId="77777777" w:rsidR="00BF7113" w:rsidRDefault="00BF7113" w:rsidP="00417E6B">
            <w:pPr>
              <w:spacing w:after="120"/>
            </w:pPr>
          </w:p>
        </w:tc>
        <w:tc>
          <w:tcPr>
            <w:tcW w:w="616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6A7177E" w14:textId="06CB96D0" w:rsidR="00BF7113" w:rsidRDefault="00BF7113" w:rsidP="00417E6B">
            <w:pPr>
              <w:spacing w:after="120"/>
              <w:cnfStyle w:val="000000100000" w:firstRow="0" w:lastRow="0" w:firstColumn="0" w:lastColumn="0" w:oddVBand="0" w:evenVBand="0" w:oddHBand="1" w:evenHBand="0" w:firstRowFirstColumn="0" w:firstRowLastColumn="0" w:lastRowFirstColumn="0" w:lastRowLastColumn="0"/>
            </w:pPr>
            <w:r>
              <w:t>Tumor Infiltrating Lymphocytes</w:t>
            </w:r>
          </w:p>
        </w:tc>
        <w:tc>
          <w:tcPr>
            <w:tcW w:w="207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33D00BC" w14:textId="658B2EC4" w:rsidR="00BF7113" w:rsidRDefault="00132265" w:rsidP="00417E6B">
            <w:pPr>
              <w:spacing w:after="120"/>
              <w:cnfStyle w:val="000000100000" w:firstRow="0" w:lastRow="0" w:firstColumn="0" w:lastColumn="0" w:oddVBand="0" w:evenVBand="0" w:oddHBand="1" w:evenHBand="0" w:firstRowFirstColumn="0" w:firstRowLastColumn="0" w:lastRowFirstColumn="0" w:lastRowLastColumn="0"/>
            </w:pPr>
            <w:r>
              <w:t>Subject to IBC</w:t>
            </w:r>
          </w:p>
        </w:tc>
      </w:tr>
      <w:tr w:rsidR="00BF7113" w14:paraId="690D0CA9" w14:textId="77777777">
        <w:trPr>
          <w:trHeight w:val="50"/>
        </w:trPr>
        <w:tc>
          <w:tcPr>
            <w:cnfStyle w:val="001000000000" w:firstRow="0" w:lastRow="0" w:firstColumn="1" w:lastColumn="0" w:oddVBand="0" w:evenVBand="0" w:oddHBand="0" w:evenHBand="0" w:firstRowFirstColumn="0" w:firstRowLastColumn="0" w:lastRowFirstColumn="0" w:lastRowLastColumn="0"/>
            <w:tcW w:w="2292" w:type="dxa"/>
            <w:vMerge/>
            <w:tcBorders>
              <w:left w:val="single" w:sz="4" w:space="0" w:color="auto"/>
              <w:right w:val="single" w:sz="4" w:space="0" w:color="auto"/>
            </w:tcBorders>
            <w:shd w:val="clear" w:color="auto" w:fill="F4B083" w:themeFill="accent2" w:themeFillTint="99"/>
          </w:tcPr>
          <w:p w14:paraId="59CEFFA7" w14:textId="77777777" w:rsidR="00BF7113" w:rsidRDefault="00BF7113" w:rsidP="00417E6B">
            <w:pPr>
              <w:spacing w:after="120"/>
            </w:pPr>
          </w:p>
        </w:tc>
        <w:tc>
          <w:tcPr>
            <w:tcW w:w="616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532872D" w14:textId="0D03239B" w:rsidR="00BF7113" w:rsidRDefault="00BF7113" w:rsidP="00417E6B">
            <w:pPr>
              <w:spacing w:after="120"/>
              <w:cnfStyle w:val="000000000000" w:firstRow="0" w:lastRow="0" w:firstColumn="0" w:lastColumn="0" w:oddVBand="0" w:evenVBand="0" w:oddHBand="0" w:evenHBand="0" w:firstRowFirstColumn="0" w:firstRowLastColumn="0" w:lastRowFirstColumn="0" w:lastRowLastColumn="0"/>
            </w:pPr>
            <w:r>
              <w:t>Vaccine: oncogenic retrovirus</w:t>
            </w:r>
          </w:p>
        </w:tc>
        <w:tc>
          <w:tcPr>
            <w:tcW w:w="207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E78BD90" w14:textId="16B1010E" w:rsidR="00BF7113" w:rsidRDefault="00BF7113" w:rsidP="00417E6B">
            <w:pPr>
              <w:spacing w:after="120"/>
              <w:cnfStyle w:val="000000000000" w:firstRow="0" w:lastRow="0" w:firstColumn="0" w:lastColumn="0" w:oddVBand="0" w:evenVBand="0" w:oddHBand="0" w:evenHBand="0" w:firstRowFirstColumn="0" w:firstRowLastColumn="0" w:lastRowFirstColumn="0" w:lastRowLastColumn="0"/>
            </w:pPr>
            <w:r>
              <w:t>Yes</w:t>
            </w:r>
          </w:p>
        </w:tc>
      </w:tr>
      <w:tr w:rsidR="001C49C5" w14:paraId="2E7BF7C1"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92" w:type="dxa"/>
            <w:vMerge/>
            <w:tcBorders>
              <w:left w:val="single" w:sz="4" w:space="0" w:color="auto"/>
              <w:right w:val="single" w:sz="4" w:space="0" w:color="auto"/>
            </w:tcBorders>
            <w:shd w:val="clear" w:color="auto" w:fill="F4B083" w:themeFill="accent2" w:themeFillTint="99"/>
          </w:tcPr>
          <w:p w14:paraId="0A6564D6" w14:textId="77777777" w:rsidR="001C49C5" w:rsidRDefault="001C49C5" w:rsidP="001C49C5">
            <w:pPr>
              <w:spacing w:after="120"/>
            </w:pPr>
          </w:p>
        </w:tc>
        <w:tc>
          <w:tcPr>
            <w:tcW w:w="616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EDA2B33" w14:textId="4A5D3489" w:rsidR="001C49C5" w:rsidRDefault="001C49C5" w:rsidP="001C49C5">
            <w:pPr>
              <w:spacing w:after="120"/>
              <w:cnfStyle w:val="000000100000" w:firstRow="0" w:lastRow="0" w:firstColumn="0" w:lastColumn="0" w:oddVBand="0" w:evenVBand="0" w:oddHBand="1" w:evenHBand="0" w:firstRowFirstColumn="0" w:firstRowLastColumn="0" w:lastRowFirstColumn="0" w:lastRowLastColumn="0"/>
            </w:pPr>
            <w:r>
              <w:t>Autologous Stem Cell Transplantation / BMT</w:t>
            </w:r>
          </w:p>
        </w:tc>
        <w:tc>
          <w:tcPr>
            <w:tcW w:w="207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2B82BFA" w14:textId="74B55411" w:rsidR="001C49C5" w:rsidRDefault="001C49C5" w:rsidP="001C49C5">
            <w:pPr>
              <w:spacing w:after="120"/>
              <w:cnfStyle w:val="000000100000" w:firstRow="0" w:lastRow="0" w:firstColumn="0" w:lastColumn="0" w:oddVBand="0" w:evenVBand="0" w:oddHBand="1" w:evenHBand="0" w:firstRowFirstColumn="0" w:firstRowLastColumn="0" w:lastRowFirstColumn="0" w:lastRowLastColumn="0"/>
            </w:pPr>
            <w:r>
              <w:t>No</w:t>
            </w:r>
          </w:p>
        </w:tc>
      </w:tr>
      <w:tr w:rsidR="001C49C5" w14:paraId="106ECFEB" w14:textId="77777777">
        <w:trPr>
          <w:trHeight w:val="50"/>
        </w:trPr>
        <w:tc>
          <w:tcPr>
            <w:cnfStyle w:val="001000000000" w:firstRow="0" w:lastRow="0" w:firstColumn="1" w:lastColumn="0" w:oddVBand="0" w:evenVBand="0" w:oddHBand="0" w:evenHBand="0" w:firstRowFirstColumn="0" w:firstRowLastColumn="0" w:lastRowFirstColumn="0" w:lastRowLastColumn="0"/>
            <w:tcW w:w="2292" w:type="dxa"/>
            <w:vMerge/>
            <w:tcBorders>
              <w:left w:val="single" w:sz="4" w:space="0" w:color="auto"/>
              <w:right w:val="single" w:sz="4" w:space="0" w:color="auto"/>
            </w:tcBorders>
            <w:shd w:val="clear" w:color="auto" w:fill="F4B083" w:themeFill="accent2" w:themeFillTint="99"/>
          </w:tcPr>
          <w:p w14:paraId="665F8F1C" w14:textId="77777777" w:rsidR="001C49C5" w:rsidRDefault="001C49C5" w:rsidP="001C49C5">
            <w:pPr>
              <w:spacing w:after="120"/>
            </w:pPr>
          </w:p>
        </w:tc>
        <w:tc>
          <w:tcPr>
            <w:tcW w:w="616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20155" w14:textId="2A60BB80" w:rsidR="001C49C5" w:rsidRDefault="001C49C5" w:rsidP="001C49C5">
            <w:pPr>
              <w:spacing w:after="120"/>
              <w:cnfStyle w:val="000000000000" w:firstRow="0" w:lastRow="0" w:firstColumn="0" w:lastColumn="0" w:oddVBand="0" w:evenVBand="0" w:oddHBand="0" w:evenHBand="0" w:firstRowFirstColumn="0" w:firstRowLastColumn="0" w:lastRowFirstColumn="0" w:lastRowLastColumn="0"/>
            </w:pPr>
            <w:r>
              <w:t>Allogenic Hematopoietic Cell Transplantation</w:t>
            </w:r>
          </w:p>
        </w:tc>
        <w:tc>
          <w:tcPr>
            <w:tcW w:w="207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6FA03C1" w14:textId="5C05E3B5" w:rsidR="001C49C5" w:rsidRDefault="001C49C5" w:rsidP="001C49C5">
            <w:pPr>
              <w:spacing w:after="120"/>
              <w:cnfStyle w:val="000000000000" w:firstRow="0" w:lastRow="0" w:firstColumn="0" w:lastColumn="0" w:oddVBand="0" w:evenVBand="0" w:oddHBand="0" w:evenHBand="0" w:firstRowFirstColumn="0" w:firstRowLastColumn="0" w:lastRowFirstColumn="0" w:lastRowLastColumn="0"/>
            </w:pPr>
            <w:r>
              <w:t>No</w:t>
            </w:r>
          </w:p>
        </w:tc>
      </w:tr>
      <w:tr w:rsidR="001C49C5" w14:paraId="063656B1"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92" w:type="dxa"/>
            <w:vMerge/>
            <w:tcBorders>
              <w:left w:val="single" w:sz="4" w:space="0" w:color="auto"/>
              <w:right w:val="single" w:sz="4" w:space="0" w:color="auto"/>
            </w:tcBorders>
            <w:shd w:val="clear" w:color="auto" w:fill="F4B083" w:themeFill="accent2" w:themeFillTint="99"/>
          </w:tcPr>
          <w:p w14:paraId="1D7AD30D" w14:textId="77777777" w:rsidR="001C49C5" w:rsidRDefault="001C49C5" w:rsidP="001C49C5">
            <w:pPr>
              <w:spacing w:after="120"/>
            </w:pPr>
          </w:p>
        </w:tc>
        <w:tc>
          <w:tcPr>
            <w:tcW w:w="616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BFF5B10" w14:textId="12B34E2D" w:rsidR="001C49C5" w:rsidRDefault="001C49C5" w:rsidP="001C49C5">
            <w:pPr>
              <w:spacing w:after="120"/>
              <w:cnfStyle w:val="000000100000" w:firstRow="0" w:lastRow="0" w:firstColumn="0" w:lastColumn="0" w:oddVBand="0" w:evenVBand="0" w:oddHBand="1" w:evenHBand="0" w:firstRowFirstColumn="0" w:firstRowLastColumn="0" w:lastRowFirstColumn="0" w:lastRowLastColumn="0"/>
            </w:pPr>
            <w:r>
              <w:t>HLA Matched Unrelated Donor Bone Marrow Transplantation</w:t>
            </w:r>
          </w:p>
        </w:tc>
        <w:tc>
          <w:tcPr>
            <w:tcW w:w="207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E553746" w14:textId="03CAD730" w:rsidR="001C49C5" w:rsidRDefault="001C49C5" w:rsidP="001C49C5">
            <w:pPr>
              <w:spacing w:after="120"/>
              <w:cnfStyle w:val="000000100000" w:firstRow="0" w:lastRow="0" w:firstColumn="0" w:lastColumn="0" w:oddVBand="0" w:evenVBand="0" w:oddHBand="1" w:evenHBand="0" w:firstRowFirstColumn="0" w:firstRowLastColumn="0" w:lastRowFirstColumn="0" w:lastRowLastColumn="0"/>
            </w:pPr>
            <w:r>
              <w:t>No</w:t>
            </w:r>
          </w:p>
        </w:tc>
      </w:tr>
      <w:tr w:rsidR="001C49C5" w14:paraId="4C476BC2" w14:textId="77777777">
        <w:trPr>
          <w:trHeight w:val="50"/>
        </w:trPr>
        <w:tc>
          <w:tcPr>
            <w:cnfStyle w:val="001000000000" w:firstRow="0" w:lastRow="0" w:firstColumn="1" w:lastColumn="0" w:oddVBand="0" w:evenVBand="0" w:oddHBand="0" w:evenHBand="0" w:firstRowFirstColumn="0" w:firstRowLastColumn="0" w:lastRowFirstColumn="0" w:lastRowLastColumn="0"/>
            <w:tcW w:w="2292" w:type="dxa"/>
            <w:vMerge/>
            <w:tcBorders>
              <w:left w:val="single" w:sz="4" w:space="0" w:color="auto"/>
              <w:right w:val="single" w:sz="4" w:space="0" w:color="auto"/>
            </w:tcBorders>
            <w:shd w:val="clear" w:color="auto" w:fill="F4B083" w:themeFill="accent2" w:themeFillTint="99"/>
          </w:tcPr>
          <w:p w14:paraId="70EB7CAD" w14:textId="77777777" w:rsidR="001C49C5" w:rsidRDefault="001C49C5" w:rsidP="001C49C5">
            <w:pPr>
              <w:spacing w:after="120"/>
            </w:pPr>
          </w:p>
        </w:tc>
        <w:tc>
          <w:tcPr>
            <w:tcW w:w="616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51AEC2A" w14:textId="0B4EA560" w:rsidR="001C49C5" w:rsidRDefault="001C49C5" w:rsidP="001C49C5">
            <w:pPr>
              <w:spacing w:after="120"/>
              <w:cnfStyle w:val="000000000000" w:firstRow="0" w:lastRow="0" w:firstColumn="0" w:lastColumn="0" w:oddVBand="0" w:evenVBand="0" w:oddHBand="0" w:evenHBand="0" w:firstRowFirstColumn="0" w:firstRowLastColumn="0" w:lastRowFirstColumn="0" w:lastRowLastColumn="0"/>
            </w:pPr>
            <w:r>
              <w:t>HLA-Mismatched Unrelated Donor Hematopoietic Cell Transplantation</w:t>
            </w:r>
          </w:p>
        </w:tc>
        <w:tc>
          <w:tcPr>
            <w:tcW w:w="207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4E2CFB7" w14:textId="632B0BEB" w:rsidR="001C49C5" w:rsidRDefault="001C49C5" w:rsidP="001C49C5">
            <w:pPr>
              <w:spacing w:after="120"/>
              <w:cnfStyle w:val="000000000000" w:firstRow="0" w:lastRow="0" w:firstColumn="0" w:lastColumn="0" w:oddVBand="0" w:evenVBand="0" w:oddHBand="0" w:evenHBand="0" w:firstRowFirstColumn="0" w:firstRowLastColumn="0" w:lastRowFirstColumn="0" w:lastRowLastColumn="0"/>
            </w:pPr>
            <w:r>
              <w:t>No</w:t>
            </w:r>
          </w:p>
        </w:tc>
      </w:tr>
      <w:tr w:rsidR="001C49C5" w14:paraId="695DBA32"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92" w:type="dxa"/>
            <w:vMerge/>
            <w:tcBorders>
              <w:left w:val="single" w:sz="4" w:space="0" w:color="auto"/>
              <w:right w:val="single" w:sz="4" w:space="0" w:color="auto"/>
            </w:tcBorders>
            <w:shd w:val="clear" w:color="auto" w:fill="F4B083" w:themeFill="accent2" w:themeFillTint="99"/>
          </w:tcPr>
          <w:p w14:paraId="469B0A8C" w14:textId="77777777" w:rsidR="001C49C5" w:rsidRDefault="001C49C5" w:rsidP="001C49C5">
            <w:pPr>
              <w:spacing w:after="120"/>
            </w:pPr>
          </w:p>
        </w:tc>
        <w:tc>
          <w:tcPr>
            <w:tcW w:w="616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4F076D9" w14:textId="03FE85A5" w:rsidR="001C49C5" w:rsidRDefault="001C49C5" w:rsidP="001C49C5">
            <w:pPr>
              <w:spacing w:after="120"/>
              <w:cnfStyle w:val="000000100000" w:firstRow="0" w:lastRow="0" w:firstColumn="0" w:lastColumn="0" w:oddVBand="0" w:evenVBand="0" w:oddHBand="1" w:evenHBand="0" w:firstRowFirstColumn="0" w:firstRowLastColumn="0" w:lastRowFirstColumn="0" w:lastRowLastColumn="0"/>
            </w:pPr>
            <w:r>
              <w:t xml:space="preserve">Viral: Virus-Associated Post-Transplant Lymphoproliferative Diseases </w:t>
            </w:r>
          </w:p>
        </w:tc>
        <w:tc>
          <w:tcPr>
            <w:tcW w:w="207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80C4270" w14:textId="740D1F55" w:rsidR="001C49C5" w:rsidRDefault="001C49C5" w:rsidP="001C49C5">
            <w:pPr>
              <w:spacing w:after="120"/>
              <w:cnfStyle w:val="000000100000" w:firstRow="0" w:lastRow="0" w:firstColumn="0" w:lastColumn="0" w:oddVBand="0" w:evenVBand="0" w:oddHBand="1" w:evenHBand="0" w:firstRowFirstColumn="0" w:firstRowLastColumn="0" w:lastRowFirstColumn="0" w:lastRowLastColumn="0"/>
            </w:pPr>
            <w:r>
              <w:t>No</w:t>
            </w:r>
          </w:p>
        </w:tc>
      </w:tr>
      <w:tr w:rsidR="001C49C5" w14:paraId="56F499BC" w14:textId="77777777">
        <w:trPr>
          <w:trHeight w:val="50"/>
        </w:trPr>
        <w:tc>
          <w:tcPr>
            <w:cnfStyle w:val="001000000000" w:firstRow="0" w:lastRow="0" w:firstColumn="1" w:lastColumn="0" w:oddVBand="0" w:evenVBand="0" w:oddHBand="0" w:evenHBand="0" w:firstRowFirstColumn="0" w:firstRowLastColumn="0" w:lastRowFirstColumn="0" w:lastRowLastColumn="0"/>
            <w:tcW w:w="2292" w:type="dxa"/>
            <w:vMerge/>
            <w:tcBorders>
              <w:left w:val="single" w:sz="4" w:space="0" w:color="auto"/>
              <w:right w:val="single" w:sz="4" w:space="0" w:color="auto"/>
            </w:tcBorders>
            <w:shd w:val="clear" w:color="auto" w:fill="F4B083" w:themeFill="accent2" w:themeFillTint="99"/>
          </w:tcPr>
          <w:p w14:paraId="06F406F9" w14:textId="77777777" w:rsidR="001C49C5" w:rsidRDefault="001C49C5" w:rsidP="001C49C5">
            <w:pPr>
              <w:spacing w:after="120"/>
            </w:pPr>
          </w:p>
        </w:tc>
        <w:tc>
          <w:tcPr>
            <w:tcW w:w="616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ABC3AB3" w14:textId="3E884394" w:rsidR="001C49C5" w:rsidRDefault="001C49C5" w:rsidP="001C49C5">
            <w:pPr>
              <w:spacing w:after="120"/>
              <w:cnfStyle w:val="000000000000" w:firstRow="0" w:lastRow="0" w:firstColumn="0" w:lastColumn="0" w:oddVBand="0" w:evenVBand="0" w:oddHBand="0" w:evenHBand="0" w:firstRowFirstColumn="0" w:firstRowLastColumn="0" w:lastRowFirstColumn="0" w:lastRowLastColumn="0"/>
            </w:pPr>
            <w:r>
              <w:t>Acute GVHD</w:t>
            </w:r>
          </w:p>
        </w:tc>
        <w:tc>
          <w:tcPr>
            <w:tcW w:w="207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224C05E" w14:textId="5D3CFD18" w:rsidR="001C49C5" w:rsidRDefault="001C49C5" w:rsidP="001C49C5">
            <w:pPr>
              <w:spacing w:after="120"/>
              <w:cnfStyle w:val="000000000000" w:firstRow="0" w:lastRow="0" w:firstColumn="0" w:lastColumn="0" w:oddVBand="0" w:evenVBand="0" w:oddHBand="0" w:evenHBand="0" w:firstRowFirstColumn="0" w:firstRowLastColumn="0" w:lastRowFirstColumn="0" w:lastRowLastColumn="0"/>
            </w:pPr>
            <w:r>
              <w:t>No</w:t>
            </w:r>
          </w:p>
        </w:tc>
      </w:tr>
      <w:tr w:rsidR="001C49C5" w14:paraId="1E599BBF"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92" w:type="dxa"/>
            <w:vMerge/>
            <w:tcBorders>
              <w:left w:val="single" w:sz="4" w:space="0" w:color="auto"/>
              <w:bottom w:val="single" w:sz="4" w:space="0" w:color="auto"/>
              <w:right w:val="single" w:sz="4" w:space="0" w:color="auto"/>
            </w:tcBorders>
            <w:shd w:val="clear" w:color="auto" w:fill="F4B083" w:themeFill="accent2" w:themeFillTint="99"/>
          </w:tcPr>
          <w:p w14:paraId="61462AF7" w14:textId="77777777" w:rsidR="001C49C5" w:rsidRDefault="001C49C5" w:rsidP="001C49C5">
            <w:pPr>
              <w:spacing w:after="120"/>
            </w:pPr>
          </w:p>
        </w:tc>
        <w:tc>
          <w:tcPr>
            <w:tcW w:w="616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BEB40FC" w14:textId="3C76E956" w:rsidR="001C49C5" w:rsidRDefault="001C49C5" w:rsidP="001C49C5">
            <w:pPr>
              <w:spacing w:after="120"/>
              <w:cnfStyle w:val="000000100000" w:firstRow="0" w:lastRow="0" w:firstColumn="0" w:lastColumn="0" w:oddVBand="0" w:evenVBand="0" w:oddHBand="1" w:evenHBand="0" w:firstRowFirstColumn="0" w:firstRowLastColumn="0" w:lastRowFirstColumn="0" w:lastRowLastColumn="0"/>
            </w:pPr>
            <w:r>
              <w:t>Chronic GVHD</w:t>
            </w:r>
          </w:p>
        </w:tc>
        <w:tc>
          <w:tcPr>
            <w:tcW w:w="207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B28FC07" w14:textId="600F4A7B" w:rsidR="001C49C5" w:rsidRDefault="001C49C5" w:rsidP="001C49C5">
            <w:pPr>
              <w:spacing w:after="120"/>
              <w:cnfStyle w:val="000000100000" w:firstRow="0" w:lastRow="0" w:firstColumn="0" w:lastColumn="0" w:oddVBand="0" w:evenVBand="0" w:oddHBand="1" w:evenHBand="0" w:firstRowFirstColumn="0" w:firstRowLastColumn="0" w:lastRowFirstColumn="0" w:lastRowLastColumn="0"/>
            </w:pPr>
            <w:r>
              <w:t>No</w:t>
            </w:r>
          </w:p>
        </w:tc>
      </w:tr>
      <w:tr w:rsidR="001C49C5" w14:paraId="43311553" w14:textId="1EDC980A" w:rsidTr="00BF7113">
        <w:tc>
          <w:tcPr>
            <w:cnfStyle w:val="001000000000" w:firstRow="0" w:lastRow="0" w:firstColumn="1" w:lastColumn="0" w:oddVBand="0" w:evenVBand="0" w:oddHBand="0" w:evenHBand="0" w:firstRowFirstColumn="0" w:firstRowLastColumn="0" w:lastRowFirstColumn="0" w:lastRowLastColumn="0"/>
            <w:tcW w:w="22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6D751E" w14:textId="2ED3BD73" w:rsidR="001C49C5" w:rsidRDefault="001C49C5" w:rsidP="001C49C5">
            <w:pPr>
              <w:spacing w:after="120"/>
            </w:pPr>
            <w:r>
              <w:t>DO NOT NEED SUPPORT</w:t>
            </w:r>
          </w:p>
        </w:tc>
        <w:tc>
          <w:tcPr>
            <w:tcW w:w="61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32DC10" w14:textId="5A3826EC" w:rsidR="001C49C5" w:rsidRDefault="001C49C5" w:rsidP="001C49C5">
            <w:pPr>
              <w:spacing w:after="120"/>
              <w:cnfStyle w:val="000000000000" w:firstRow="0" w:lastRow="0" w:firstColumn="0" w:lastColumn="0" w:oddVBand="0" w:evenVBand="0" w:oddHBand="0" w:evenHBand="0" w:firstRowFirstColumn="0" w:firstRowLastColumn="0" w:lastRowFirstColumn="0" w:lastRowLastColumn="0"/>
            </w:pPr>
            <w:r>
              <w:t>Antibody (ex. a Selective T Cell Receptor (TCR)-targeting, Bifunctional Antibody-fusion Molecule)</w:t>
            </w:r>
          </w:p>
        </w:tc>
        <w:tc>
          <w:tcPr>
            <w:tcW w:w="20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C17215" w14:textId="77777777" w:rsidR="001C49C5" w:rsidRDefault="001C49C5" w:rsidP="001C49C5">
            <w:pPr>
              <w:spacing w:after="120"/>
              <w:cnfStyle w:val="000000000000" w:firstRow="0" w:lastRow="0" w:firstColumn="0" w:lastColumn="0" w:oddVBand="0" w:evenVBand="0" w:oddHBand="0" w:evenHBand="0" w:firstRowFirstColumn="0" w:firstRowLastColumn="0" w:lastRowFirstColumn="0" w:lastRowLastColumn="0"/>
            </w:pPr>
          </w:p>
        </w:tc>
      </w:tr>
    </w:tbl>
    <w:p w14:paraId="2C523997" w14:textId="77777777" w:rsidR="003E5CE7" w:rsidRDefault="003E5CE7" w:rsidP="00417E6B">
      <w:pPr>
        <w:spacing w:after="120"/>
      </w:pPr>
    </w:p>
    <w:p w14:paraId="0F89C723" w14:textId="77777777" w:rsidR="00BF7113" w:rsidRDefault="00BF7113" w:rsidP="00417E6B">
      <w:pPr>
        <w:spacing w:after="120"/>
      </w:pPr>
    </w:p>
    <w:p w14:paraId="3E98A53A" w14:textId="2B70BCA9" w:rsidR="00FD0DE0" w:rsidRPr="003E5CE7" w:rsidRDefault="00652A1C" w:rsidP="00417E6B">
      <w:pPr>
        <w:spacing w:after="120"/>
        <w:rPr>
          <w:b/>
          <w:bCs/>
        </w:rPr>
      </w:pPr>
      <w:r w:rsidRPr="003E5CE7">
        <w:rPr>
          <w:b/>
          <w:bCs/>
        </w:rPr>
        <w:t xml:space="preserve">2. </w:t>
      </w:r>
      <w:r w:rsidR="00E25C0B">
        <w:rPr>
          <w:b/>
          <w:bCs/>
        </w:rPr>
        <w:t>Manager r</w:t>
      </w:r>
      <w:r w:rsidRPr="003E5CE7">
        <w:rPr>
          <w:b/>
          <w:bCs/>
        </w:rPr>
        <w:t>equest</w:t>
      </w:r>
      <w:r w:rsidR="00E25C0B">
        <w:rPr>
          <w:b/>
          <w:bCs/>
        </w:rPr>
        <w:t>s</w:t>
      </w:r>
      <w:r w:rsidRPr="003E5CE7">
        <w:rPr>
          <w:b/>
          <w:bCs/>
        </w:rPr>
        <w:t xml:space="preserve"> a protocol review at the next Cellular Therapy Interest Group Meeting </w:t>
      </w:r>
    </w:p>
    <w:p w14:paraId="7A07826D" w14:textId="3E0046B3" w:rsidR="00652A1C" w:rsidRDefault="00652A1C" w:rsidP="00652A1C">
      <w:pPr>
        <w:pStyle w:val="ListParagraph"/>
        <w:numPr>
          <w:ilvl w:val="0"/>
          <w:numId w:val="4"/>
        </w:numPr>
        <w:spacing w:after="120"/>
      </w:pPr>
      <w:r>
        <w:t>Protocols related to transplantation will be reviewed at the next TCT CRT Meeting.</w:t>
      </w:r>
    </w:p>
    <w:p w14:paraId="3771F2FC" w14:textId="78E4DD63" w:rsidR="003E5CE7" w:rsidRDefault="003E5CE7" w:rsidP="00652A1C">
      <w:pPr>
        <w:pStyle w:val="ListParagraph"/>
        <w:numPr>
          <w:ilvl w:val="0"/>
          <w:numId w:val="4"/>
        </w:numPr>
        <w:spacing w:after="120"/>
      </w:pPr>
      <w:r>
        <w:t>Contact:</w:t>
      </w:r>
    </w:p>
    <w:p w14:paraId="7DD2D2A0" w14:textId="796E4BCE" w:rsidR="00652A1C" w:rsidRDefault="00652A1C" w:rsidP="003E5CE7">
      <w:pPr>
        <w:pStyle w:val="ListParagraph"/>
        <w:numPr>
          <w:ilvl w:val="1"/>
          <w:numId w:val="4"/>
        </w:numPr>
        <w:spacing w:after="120"/>
      </w:pPr>
      <w:r w:rsidRPr="00652A1C">
        <w:t xml:space="preserve">"CRS BMT Cellular Therapy Primary Investigators" </w:t>
      </w:r>
      <w:hyperlink r:id="rId9" w:history="1">
        <w:r w:rsidRPr="004F0D81">
          <w:rPr>
            <w:rStyle w:val="Hyperlink"/>
          </w:rPr>
          <w:t>TCTPrimaryInvestigators@miamiedu.onmicrosoft.com</w:t>
        </w:r>
      </w:hyperlink>
    </w:p>
    <w:p w14:paraId="38E02760" w14:textId="57C758CE" w:rsidR="003E5CE7" w:rsidRDefault="003E5CE7" w:rsidP="003E5CE7">
      <w:pPr>
        <w:pStyle w:val="ListParagraph"/>
        <w:numPr>
          <w:ilvl w:val="1"/>
          <w:numId w:val="4"/>
        </w:numPr>
        <w:spacing w:after="120"/>
      </w:pPr>
      <w:r>
        <w:t xml:space="preserve">Robby Friedman, Sr. Clinical Manager, BMT/Cellular Therapy at </w:t>
      </w:r>
      <w:hyperlink r:id="rId10" w:history="1">
        <w:r w:rsidRPr="004F0D81">
          <w:rPr>
            <w:rStyle w:val="Hyperlink"/>
          </w:rPr>
          <w:t>rxf147@miami.edu</w:t>
        </w:r>
      </w:hyperlink>
      <w:r>
        <w:t xml:space="preserve"> </w:t>
      </w:r>
    </w:p>
    <w:p w14:paraId="786FE4A0" w14:textId="57497A28" w:rsidR="006A183B" w:rsidRDefault="006A183B" w:rsidP="003E5CE7">
      <w:pPr>
        <w:pStyle w:val="ListParagraph"/>
        <w:numPr>
          <w:ilvl w:val="0"/>
          <w:numId w:val="4"/>
        </w:numPr>
        <w:spacing w:after="120"/>
      </w:pPr>
      <w:r>
        <w:t>Please include the protocol and slide deck for review</w:t>
      </w:r>
    </w:p>
    <w:p w14:paraId="3E750342" w14:textId="77777777" w:rsidR="003E5CE7" w:rsidRDefault="003E5CE7" w:rsidP="003E5CE7">
      <w:pPr>
        <w:pStyle w:val="ListParagraph"/>
        <w:spacing w:after="120"/>
        <w:ind w:left="1440"/>
      </w:pPr>
    </w:p>
    <w:p w14:paraId="66F6AB21" w14:textId="15A6C309" w:rsidR="00FD0DE0" w:rsidRDefault="006A183B" w:rsidP="00417E6B">
      <w:pPr>
        <w:spacing w:after="120"/>
        <w:rPr>
          <w:b/>
          <w:bCs/>
        </w:rPr>
      </w:pPr>
      <w:r w:rsidRPr="003E5CE7">
        <w:rPr>
          <w:b/>
          <w:bCs/>
        </w:rPr>
        <w:t xml:space="preserve">3. A determination letter will be provided to </w:t>
      </w:r>
      <w:proofErr w:type="gramStart"/>
      <w:r w:rsidRPr="003E5CE7">
        <w:rPr>
          <w:b/>
          <w:bCs/>
        </w:rPr>
        <w:t>you</w:t>
      </w:r>
      <w:proofErr w:type="gramEnd"/>
      <w:r w:rsidRPr="003E5CE7">
        <w:rPr>
          <w:b/>
          <w:bCs/>
        </w:rPr>
        <w:t xml:space="preserve"> </w:t>
      </w:r>
      <w:r w:rsidR="003E5CE7" w:rsidRPr="003E5CE7">
        <w:rPr>
          <w:b/>
          <w:bCs/>
        </w:rPr>
        <w:t>post-review.</w:t>
      </w:r>
    </w:p>
    <w:p w14:paraId="219B54EC" w14:textId="7517B5F0" w:rsidR="003E5CE7" w:rsidRDefault="003E5CE7" w:rsidP="003E5CE7">
      <w:pPr>
        <w:pStyle w:val="ListParagraph"/>
        <w:numPr>
          <w:ilvl w:val="0"/>
          <w:numId w:val="5"/>
        </w:numPr>
        <w:spacing w:after="120"/>
      </w:pPr>
      <w:r w:rsidRPr="003E5CE7">
        <w:t xml:space="preserve">Please forward this determination letter to your </w:t>
      </w:r>
      <w:r w:rsidR="009B38C3">
        <w:t>Study Intake</w:t>
      </w:r>
      <w:r w:rsidRPr="003E5CE7">
        <w:t>/SSU analyst</w:t>
      </w:r>
      <w:r w:rsidR="009B38C3">
        <w:t>.</w:t>
      </w:r>
    </w:p>
    <w:p w14:paraId="0936332F" w14:textId="77777777" w:rsidR="001C49C5" w:rsidRDefault="001C49C5" w:rsidP="001C49C5">
      <w:pPr>
        <w:spacing w:after="120"/>
      </w:pPr>
    </w:p>
    <w:p w14:paraId="3E78A367" w14:textId="77777777" w:rsidR="001C49C5" w:rsidRDefault="001C49C5" w:rsidP="001C49C5">
      <w:pPr>
        <w:spacing w:after="120"/>
      </w:pPr>
    </w:p>
    <w:p w14:paraId="659B0514" w14:textId="77777777" w:rsidR="00EE06DB" w:rsidRDefault="00EE06DB" w:rsidP="00EE06DB">
      <w:pPr>
        <w:pStyle w:val="Default"/>
      </w:pPr>
    </w:p>
    <w:p w14:paraId="071EAC0E" w14:textId="037C12C8" w:rsidR="00EE06DB" w:rsidRDefault="00EE06DB" w:rsidP="00EE06DB">
      <w:pPr>
        <w:pStyle w:val="Default"/>
        <w:jc w:val="center"/>
        <w:rPr>
          <w:b/>
          <w:bCs/>
          <w:sz w:val="20"/>
          <w:szCs w:val="20"/>
          <w:u w:val="single"/>
        </w:rPr>
      </w:pPr>
      <w:r w:rsidRPr="00EE06DB">
        <w:rPr>
          <w:b/>
          <w:bCs/>
          <w:sz w:val="20"/>
          <w:szCs w:val="20"/>
          <w:u w:val="single"/>
        </w:rPr>
        <w:t>Clinical Trials and Institutional Biosafety Committee Review</w:t>
      </w:r>
    </w:p>
    <w:p w14:paraId="52667A0F" w14:textId="77777777" w:rsidR="00EE06DB" w:rsidRPr="00EE06DB" w:rsidRDefault="00EE06DB" w:rsidP="00EE06DB">
      <w:pPr>
        <w:pStyle w:val="Default"/>
        <w:jc w:val="center"/>
        <w:rPr>
          <w:sz w:val="20"/>
          <w:szCs w:val="20"/>
          <w:u w:val="single"/>
        </w:rPr>
      </w:pPr>
    </w:p>
    <w:p w14:paraId="3EBB5C1E" w14:textId="77777777" w:rsidR="00EE06DB" w:rsidRDefault="00EE06DB" w:rsidP="00EE06DB">
      <w:pPr>
        <w:pStyle w:val="Default"/>
        <w:rPr>
          <w:sz w:val="20"/>
          <w:szCs w:val="20"/>
        </w:rPr>
      </w:pPr>
      <w:r>
        <w:rPr>
          <w:sz w:val="20"/>
          <w:szCs w:val="20"/>
        </w:rPr>
        <w:t xml:space="preserve">(One of the fastest growing areas in clinical research is clinical trials involving recombinant DNA, or gene therapy research. Because of the risks involved, this area of research is highly regulated, involving both Institutional Review Board (IRB) and Institutional Biosafety Committee (IBC) to review the risks associated with engineered genetic material in clinical trials. </w:t>
      </w:r>
    </w:p>
    <w:p w14:paraId="12F9A616" w14:textId="77777777" w:rsidR="00EE06DB" w:rsidRDefault="00EE06DB" w:rsidP="00EE06DB">
      <w:pPr>
        <w:pStyle w:val="Default"/>
        <w:rPr>
          <w:sz w:val="20"/>
          <w:szCs w:val="20"/>
        </w:rPr>
      </w:pPr>
    </w:p>
    <w:p w14:paraId="34C9CC3B" w14:textId="391DF614" w:rsidR="00EE06DB" w:rsidRDefault="00EE06DB" w:rsidP="00EE06DB">
      <w:pPr>
        <w:pStyle w:val="Default"/>
        <w:rPr>
          <w:sz w:val="20"/>
          <w:szCs w:val="20"/>
        </w:rPr>
      </w:pPr>
      <w:r>
        <w:rPr>
          <w:sz w:val="20"/>
          <w:szCs w:val="20"/>
        </w:rPr>
        <w:t xml:space="preserve">NIH Guidelines require IBC review for any genetic engineering research, including gene therapy research, that receives NIH funding or takes place at sites receiving NIH funding. The rationale behind IBC review is to ensure a thorough risk assessment is performed regarding the risks associated with the genetically modified materials and a comprehensive risk mitigation plan is in place prior to conducting the research. Gene therapy research requires safety measures to ensure that research participants and study staff as well as the community and the environment surrounding the research site are not harmed by the modified genetic material or the infectious agents that may be utilized to deliver them. An IBC can help researchers utilize the appropriate safety measures to ensure research is conducted safely and responsibly. </w:t>
      </w:r>
    </w:p>
    <w:p w14:paraId="4AB13E0B" w14:textId="77777777" w:rsidR="00EE06DB" w:rsidRDefault="00EE06DB" w:rsidP="00EE06DB">
      <w:pPr>
        <w:pStyle w:val="Default"/>
        <w:rPr>
          <w:sz w:val="20"/>
          <w:szCs w:val="20"/>
        </w:rPr>
      </w:pPr>
    </w:p>
    <w:p w14:paraId="3CACCB66" w14:textId="77777777" w:rsidR="00EE06DB" w:rsidRDefault="00EE06DB" w:rsidP="00EE06DB">
      <w:pPr>
        <w:pStyle w:val="Default"/>
        <w:rPr>
          <w:sz w:val="20"/>
          <w:szCs w:val="20"/>
        </w:rPr>
      </w:pPr>
      <w:r>
        <w:rPr>
          <w:sz w:val="20"/>
          <w:szCs w:val="20"/>
        </w:rPr>
        <w:t xml:space="preserve">Certain key words can aid in determining if IBC review is likely required. The following is a list of common terms found in research protocols requiring IBC review: </w:t>
      </w:r>
    </w:p>
    <w:p w14:paraId="55F8EE68" w14:textId="77777777" w:rsidR="00EE06DB" w:rsidRDefault="00EE06DB" w:rsidP="00EE06DB">
      <w:pPr>
        <w:pStyle w:val="Default"/>
        <w:rPr>
          <w:sz w:val="20"/>
          <w:szCs w:val="20"/>
        </w:rPr>
      </w:pPr>
    </w:p>
    <w:p w14:paraId="4C03EB56" w14:textId="77777777" w:rsidR="00EE06DB" w:rsidRPr="00EE06DB" w:rsidRDefault="00EE06DB" w:rsidP="00EE06DB">
      <w:pPr>
        <w:pStyle w:val="Default"/>
        <w:rPr>
          <w:sz w:val="20"/>
          <w:szCs w:val="20"/>
          <w:u w:val="single"/>
        </w:rPr>
      </w:pPr>
      <w:r w:rsidRPr="00EE06DB">
        <w:rPr>
          <w:b/>
          <w:bCs/>
          <w:sz w:val="20"/>
          <w:szCs w:val="20"/>
          <w:u w:val="single"/>
        </w:rPr>
        <w:t xml:space="preserve">IBC Review </w:t>
      </w:r>
      <w:r w:rsidRPr="005460A6">
        <w:rPr>
          <w:b/>
          <w:bCs/>
          <w:sz w:val="20"/>
          <w:szCs w:val="20"/>
          <w:highlight w:val="cyan"/>
          <w:u w:val="single"/>
        </w:rPr>
        <w:t>required</w:t>
      </w:r>
      <w:r w:rsidRPr="00EE06DB">
        <w:rPr>
          <w:b/>
          <w:bCs/>
          <w:sz w:val="20"/>
          <w:szCs w:val="20"/>
          <w:u w:val="single"/>
        </w:rPr>
        <w:t xml:space="preserve"> of Human Subject studies involving: </w:t>
      </w:r>
    </w:p>
    <w:p w14:paraId="2C2A18E6" w14:textId="7A8F73EB" w:rsidR="00EE06DB" w:rsidRDefault="00EE06DB" w:rsidP="00EE06DB">
      <w:pPr>
        <w:pStyle w:val="Default"/>
        <w:rPr>
          <w:sz w:val="20"/>
          <w:szCs w:val="20"/>
        </w:rPr>
      </w:pPr>
      <w:r>
        <w:rPr>
          <w:sz w:val="20"/>
          <w:szCs w:val="20"/>
        </w:rPr>
        <w:t xml:space="preserve">• Viral vector / Virus based gene delivery vector </w:t>
      </w:r>
    </w:p>
    <w:p w14:paraId="660A069F" w14:textId="77777777" w:rsidR="00EE06DB" w:rsidRDefault="00EE06DB" w:rsidP="00EE06DB">
      <w:pPr>
        <w:pStyle w:val="Default"/>
        <w:ind w:left="720"/>
        <w:rPr>
          <w:sz w:val="20"/>
          <w:szCs w:val="20"/>
        </w:rPr>
      </w:pPr>
      <w:r>
        <w:rPr>
          <w:sz w:val="20"/>
          <w:szCs w:val="20"/>
        </w:rPr>
        <w:t xml:space="preserve">Common viruses include: </w:t>
      </w:r>
    </w:p>
    <w:p w14:paraId="16C79F70" w14:textId="77777777" w:rsidR="00EE06DB" w:rsidRDefault="00EE06DB" w:rsidP="00EE06DB">
      <w:pPr>
        <w:pStyle w:val="Default"/>
        <w:ind w:left="1440"/>
        <w:rPr>
          <w:sz w:val="20"/>
          <w:szCs w:val="20"/>
        </w:rPr>
      </w:pPr>
      <w:r>
        <w:rPr>
          <w:sz w:val="20"/>
          <w:szCs w:val="20"/>
        </w:rPr>
        <w:t xml:space="preserve">• Adenovirus (Ad) </w:t>
      </w:r>
    </w:p>
    <w:p w14:paraId="5C8F8193" w14:textId="77777777" w:rsidR="00EE06DB" w:rsidRDefault="00EE06DB" w:rsidP="00EE06DB">
      <w:pPr>
        <w:pStyle w:val="Default"/>
        <w:ind w:left="1440"/>
        <w:rPr>
          <w:sz w:val="20"/>
          <w:szCs w:val="20"/>
        </w:rPr>
      </w:pPr>
      <w:r>
        <w:rPr>
          <w:sz w:val="20"/>
          <w:szCs w:val="20"/>
        </w:rPr>
        <w:t xml:space="preserve">• Adeno-Associated Virus (AAV) </w:t>
      </w:r>
    </w:p>
    <w:p w14:paraId="209F8E8A" w14:textId="77777777" w:rsidR="00EE06DB" w:rsidRDefault="00EE06DB" w:rsidP="00EE06DB">
      <w:pPr>
        <w:pStyle w:val="Default"/>
        <w:ind w:left="1440"/>
        <w:rPr>
          <w:sz w:val="20"/>
          <w:szCs w:val="20"/>
        </w:rPr>
      </w:pPr>
      <w:r>
        <w:rPr>
          <w:sz w:val="20"/>
          <w:szCs w:val="20"/>
        </w:rPr>
        <w:t xml:space="preserve">• Retrovirus </w:t>
      </w:r>
    </w:p>
    <w:p w14:paraId="33CBFE2C" w14:textId="77777777" w:rsidR="00EE06DB" w:rsidRDefault="00EE06DB" w:rsidP="00EE06DB">
      <w:pPr>
        <w:pStyle w:val="Default"/>
        <w:ind w:left="1440"/>
        <w:rPr>
          <w:sz w:val="20"/>
          <w:szCs w:val="20"/>
        </w:rPr>
      </w:pPr>
      <w:r>
        <w:rPr>
          <w:sz w:val="20"/>
          <w:szCs w:val="20"/>
        </w:rPr>
        <w:t xml:space="preserve">• Lentivirus (e.g. HIV based vector) </w:t>
      </w:r>
    </w:p>
    <w:p w14:paraId="5B48B67B" w14:textId="77777777" w:rsidR="00EE06DB" w:rsidRDefault="00EE06DB" w:rsidP="00EE06DB">
      <w:pPr>
        <w:pStyle w:val="Default"/>
        <w:ind w:left="1440"/>
        <w:rPr>
          <w:sz w:val="20"/>
          <w:szCs w:val="20"/>
        </w:rPr>
      </w:pPr>
      <w:r>
        <w:rPr>
          <w:sz w:val="20"/>
          <w:szCs w:val="20"/>
        </w:rPr>
        <w:t xml:space="preserve">• Herpes virus (HSV) </w:t>
      </w:r>
    </w:p>
    <w:p w14:paraId="5DE93D64" w14:textId="1CBB5F6E" w:rsidR="00EE06DB" w:rsidRDefault="00EE06DB" w:rsidP="00EE06DB">
      <w:pPr>
        <w:pStyle w:val="Default"/>
        <w:ind w:left="1440"/>
        <w:rPr>
          <w:sz w:val="20"/>
          <w:szCs w:val="20"/>
        </w:rPr>
      </w:pPr>
      <w:r>
        <w:rPr>
          <w:sz w:val="20"/>
          <w:szCs w:val="20"/>
        </w:rPr>
        <w:t xml:space="preserve">• Pox virus (e.g. vaccinia, canary </w:t>
      </w:r>
      <w:proofErr w:type="gramStart"/>
      <w:r>
        <w:rPr>
          <w:sz w:val="20"/>
          <w:szCs w:val="20"/>
        </w:rPr>
        <w:t>pox</w:t>
      </w:r>
      <w:proofErr w:type="gramEnd"/>
      <w:r>
        <w:rPr>
          <w:sz w:val="20"/>
          <w:szCs w:val="20"/>
        </w:rPr>
        <w:t xml:space="preserve"> or fowl pox) </w:t>
      </w:r>
    </w:p>
    <w:p w14:paraId="57E51F89" w14:textId="77777777" w:rsidR="00EE06DB" w:rsidRDefault="00EE06DB" w:rsidP="00EE06DB">
      <w:pPr>
        <w:pStyle w:val="Default"/>
        <w:rPr>
          <w:sz w:val="20"/>
          <w:szCs w:val="20"/>
        </w:rPr>
      </w:pPr>
    </w:p>
    <w:p w14:paraId="0BF7AE6D" w14:textId="77777777" w:rsidR="00EE06DB" w:rsidRDefault="00EE06DB" w:rsidP="00EE06DB">
      <w:pPr>
        <w:pStyle w:val="Default"/>
        <w:rPr>
          <w:sz w:val="20"/>
          <w:szCs w:val="20"/>
        </w:rPr>
      </w:pPr>
      <w:r>
        <w:rPr>
          <w:sz w:val="20"/>
          <w:szCs w:val="20"/>
        </w:rPr>
        <w:t xml:space="preserve">• Genetically modified or reprogrammed immune cells/white blood cells (e.g. CAR T cells) </w:t>
      </w:r>
    </w:p>
    <w:p w14:paraId="37EB5567" w14:textId="77777777" w:rsidR="00EE06DB" w:rsidRDefault="00EE06DB" w:rsidP="00EE06DB">
      <w:pPr>
        <w:pStyle w:val="Default"/>
        <w:rPr>
          <w:sz w:val="20"/>
          <w:szCs w:val="20"/>
        </w:rPr>
      </w:pPr>
      <w:r>
        <w:rPr>
          <w:sz w:val="20"/>
          <w:szCs w:val="20"/>
        </w:rPr>
        <w:t xml:space="preserve">• DNA vaccines </w:t>
      </w:r>
    </w:p>
    <w:p w14:paraId="5A382709" w14:textId="77777777" w:rsidR="00EE06DB" w:rsidRDefault="00EE06DB" w:rsidP="00EE06DB">
      <w:pPr>
        <w:pStyle w:val="Default"/>
        <w:rPr>
          <w:sz w:val="20"/>
          <w:szCs w:val="20"/>
        </w:rPr>
      </w:pPr>
      <w:r>
        <w:rPr>
          <w:sz w:val="20"/>
          <w:szCs w:val="20"/>
        </w:rPr>
        <w:t xml:space="preserve">• Plasmid </w:t>
      </w:r>
    </w:p>
    <w:p w14:paraId="373E5D36" w14:textId="77777777" w:rsidR="00EE06DB" w:rsidRDefault="00EE06DB" w:rsidP="00EE06DB">
      <w:pPr>
        <w:pStyle w:val="Default"/>
        <w:rPr>
          <w:sz w:val="20"/>
          <w:szCs w:val="20"/>
        </w:rPr>
      </w:pPr>
      <w:r>
        <w:rPr>
          <w:sz w:val="20"/>
          <w:szCs w:val="20"/>
        </w:rPr>
        <w:t xml:space="preserve">• Genetically modified </w:t>
      </w:r>
    </w:p>
    <w:p w14:paraId="6E8AAB65" w14:textId="77777777" w:rsidR="00EE06DB" w:rsidRDefault="00EE06DB" w:rsidP="00EE06DB">
      <w:pPr>
        <w:pStyle w:val="Default"/>
        <w:rPr>
          <w:sz w:val="20"/>
          <w:szCs w:val="20"/>
        </w:rPr>
      </w:pPr>
      <w:r>
        <w:rPr>
          <w:sz w:val="20"/>
          <w:szCs w:val="20"/>
        </w:rPr>
        <w:t xml:space="preserve">• Recombinant DNA (rDNA) </w:t>
      </w:r>
    </w:p>
    <w:p w14:paraId="58DE262B" w14:textId="77777777" w:rsidR="00EE06DB" w:rsidRDefault="00EE06DB" w:rsidP="00EE06DB">
      <w:pPr>
        <w:pStyle w:val="Default"/>
        <w:rPr>
          <w:sz w:val="20"/>
          <w:szCs w:val="20"/>
        </w:rPr>
      </w:pPr>
      <w:r>
        <w:rPr>
          <w:sz w:val="20"/>
          <w:szCs w:val="20"/>
        </w:rPr>
        <w:t xml:space="preserve">• Synthetic Nucleic Acids </w:t>
      </w:r>
    </w:p>
    <w:p w14:paraId="5D6B2FCA" w14:textId="77777777" w:rsidR="00EE06DB" w:rsidRDefault="00EE06DB" w:rsidP="00EE06DB">
      <w:pPr>
        <w:pStyle w:val="Default"/>
        <w:rPr>
          <w:sz w:val="20"/>
          <w:szCs w:val="20"/>
        </w:rPr>
      </w:pPr>
      <w:r>
        <w:rPr>
          <w:sz w:val="20"/>
          <w:szCs w:val="20"/>
        </w:rPr>
        <w:t xml:space="preserve">• Gene editing: CRISPR-Cas9, TALEN, Zinc Finger Nuclease (ZFN) </w:t>
      </w:r>
    </w:p>
    <w:p w14:paraId="74152EFF" w14:textId="77777777" w:rsidR="00EE06DB" w:rsidRDefault="00EE06DB" w:rsidP="00EE06DB">
      <w:pPr>
        <w:pStyle w:val="Default"/>
        <w:rPr>
          <w:sz w:val="20"/>
          <w:szCs w:val="20"/>
        </w:rPr>
      </w:pPr>
      <w:r>
        <w:rPr>
          <w:sz w:val="20"/>
          <w:szCs w:val="20"/>
        </w:rPr>
        <w:t xml:space="preserve">• Gene silencing: </w:t>
      </w:r>
    </w:p>
    <w:p w14:paraId="6BB8EBF0" w14:textId="77777777" w:rsidR="00EE06DB" w:rsidRDefault="00EE06DB" w:rsidP="00EE06DB">
      <w:pPr>
        <w:pStyle w:val="Default"/>
        <w:rPr>
          <w:sz w:val="20"/>
          <w:szCs w:val="20"/>
        </w:rPr>
      </w:pPr>
      <w:r>
        <w:rPr>
          <w:sz w:val="20"/>
          <w:szCs w:val="20"/>
        </w:rPr>
        <w:t xml:space="preserve">• Micro RNA (miRNA), RNA interference (RNAi), short hairpin RNA (shRNA), silencing RNA (siRNA) </w:t>
      </w:r>
    </w:p>
    <w:p w14:paraId="30404768" w14:textId="77777777" w:rsidR="00EE06DB" w:rsidRDefault="00EE06DB" w:rsidP="00EE06DB">
      <w:pPr>
        <w:pStyle w:val="Default"/>
        <w:rPr>
          <w:sz w:val="20"/>
          <w:szCs w:val="20"/>
        </w:rPr>
      </w:pPr>
    </w:p>
    <w:p w14:paraId="2D0025F1" w14:textId="77777777" w:rsidR="00EE06DB" w:rsidRDefault="00EE06DB" w:rsidP="00EE06DB">
      <w:pPr>
        <w:pStyle w:val="Default"/>
        <w:rPr>
          <w:sz w:val="20"/>
          <w:szCs w:val="20"/>
        </w:rPr>
      </w:pPr>
      <w:r>
        <w:rPr>
          <w:sz w:val="20"/>
          <w:szCs w:val="20"/>
        </w:rPr>
        <w:t xml:space="preserve">The following list includes terms associated with types of clinical trials that increasingly utilize genetically modified materials and, in such cases, may require IBC review. The latter list includes terms that generally do not point to requiring IBC review. </w:t>
      </w:r>
    </w:p>
    <w:p w14:paraId="420FACE8" w14:textId="77777777" w:rsidR="00EE06DB" w:rsidRDefault="00EE06DB" w:rsidP="00EE06DB">
      <w:pPr>
        <w:pStyle w:val="Default"/>
        <w:rPr>
          <w:sz w:val="20"/>
          <w:szCs w:val="20"/>
        </w:rPr>
      </w:pPr>
    </w:p>
    <w:p w14:paraId="79BC5B20" w14:textId="77777777" w:rsidR="00EE06DB" w:rsidRPr="00EE06DB" w:rsidRDefault="00EE06DB" w:rsidP="00EE06DB">
      <w:pPr>
        <w:pStyle w:val="Default"/>
        <w:rPr>
          <w:sz w:val="20"/>
          <w:szCs w:val="20"/>
          <w:u w:val="single"/>
        </w:rPr>
      </w:pPr>
      <w:r w:rsidRPr="00EE06DB">
        <w:rPr>
          <w:b/>
          <w:bCs/>
          <w:sz w:val="20"/>
          <w:szCs w:val="20"/>
          <w:u w:val="single"/>
        </w:rPr>
        <w:t xml:space="preserve">These studies </w:t>
      </w:r>
      <w:r w:rsidRPr="005460A6">
        <w:rPr>
          <w:b/>
          <w:bCs/>
          <w:sz w:val="20"/>
          <w:szCs w:val="20"/>
          <w:highlight w:val="cyan"/>
          <w:u w:val="single"/>
        </w:rPr>
        <w:t>may need</w:t>
      </w:r>
      <w:r w:rsidRPr="00EE06DB">
        <w:rPr>
          <w:b/>
          <w:bCs/>
          <w:sz w:val="20"/>
          <w:szCs w:val="20"/>
          <w:u w:val="single"/>
        </w:rPr>
        <w:t xml:space="preserve"> IBC Review (need more info about the design of the investigational product) </w:t>
      </w:r>
    </w:p>
    <w:p w14:paraId="4A00CCE4" w14:textId="77777777" w:rsidR="00EE06DB" w:rsidRDefault="00EE06DB" w:rsidP="00EE06DB">
      <w:pPr>
        <w:pStyle w:val="Default"/>
        <w:rPr>
          <w:sz w:val="20"/>
          <w:szCs w:val="20"/>
        </w:rPr>
      </w:pPr>
      <w:r>
        <w:rPr>
          <w:sz w:val="20"/>
          <w:szCs w:val="20"/>
        </w:rPr>
        <w:t xml:space="preserve">• Vaccines, especially for cancer and infectious agents (Ebola, SARS, MERS, Zika, etc.) </w:t>
      </w:r>
    </w:p>
    <w:p w14:paraId="1BC120D2" w14:textId="77777777" w:rsidR="00EE06DB" w:rsidRDefault="00EE06DB" w:rsidP="00EE06DB">
      <w:pPr>
        <w:pStyle w:val="Default"/>
        <w:rPr>
          <w:sz w:val="20"/>
          <w:szCs w:val="20"/>
        </w:rPr>
      </w:pPr>
      <w:r>
        <w:rPr>
          <w:sz w:val="20"/>
          <w:szCs w:val="20"/>
        </w:rPr>
        <w:t xml:space="preserve">• Immunotherapy </w:t>
      </w:r>
    </w:p>
    <w:p w14:paraId="5B14D188" w14:textId="77777777" w:rsidR="00EE06DB" w:rsidRDefault="00EE06DB" w:rsidP="00EE06DB">
      <w:pPr>
        <w:pStyle w:val="Default"/>
        <w:rPr>
          <w:sz w:val="20"/>
          <w:szCs w:val="20"/>
        </w:rPr>
      </w:pPr>
      <w:r>
        <w:rPr>
          <w:sz w:val="20"/>
          <w:szCs w:val="20"/>
        </w:rPr>
        <w:t xml:space="preserve">• Cellular therapy </w:t>
      </w:r>
    </w:p>
    <w:p w14:paraId="48B745EB" w14:textId="77777777" w:rsidR="00EE06DB" w:rsidRDefault="00EE06DB" w:rsidP="00EE06DB">
      <w:pPr>
        <w:pStyle w:val="Default"/>
        <w:rPr>
          <w:sz w:val="20"/>
          <w:szCs w:val="20"/>
        </w:rPr>
      </w:pPr>
      <w:r>
        <w:rPr>
          <w:sz w:val="20"/>
          <w:szCs w:val="20"/>
        </w:rPr>
        <w:t xml:space="preserve">• Regenerative therapy </w:t>
      </w:r>
    </w:p>
    <w:p w14:paraId="3A021759" w14:textId="77777777" w:rsidR="00EE06DB" w:rsidRDefault="00EE06DB" w:rsidP="00EE06DB">
      <w:pPr>
        <w:pStyle w:val="Default"/>
        <w:rPr>
          <w:sz w:val="20"/>
          <w:szCs w:val="20"/>
        </w:rPr>
      </w:pPr>
    </w:p>
    <w:p w14:paraId="7D46760A" w14:textId="77777777" w:rsidR="00EE06DB" w:rsidRPr="00EE06DB" w:rsidRDefault="00EE06DB" w:rsidP="00EE06DB">
      <w:pPr>
        <w:pStyle w:val="Default"/>
        <w:rPr>
          <w:sz w:val="20"/>
          <w:szCs w:val="20"/>
          <w:u w:val="single"/>
        </w:rPr>
      </w:pPr>
      <w:r w:rsidRPr="00EE06DB">
        <w:rPr>
          <w:b/>
          <w:bCs/>
          <w:sz w:val="20"/>
          <w:szCs w:val="20"/>
          <w:u w:val="single"/>
        </w:rPr>
        <w:t xml:space="preserve">Studies </w:t>
      </w:r>
      <w:r w:rsidRPr="005460A6">
        <w:rPr>
          <w:b/>
          <w:bCs/>
          <w:sz w:val="20"/>
          <w:szCs w:val="20"/>
          <w:highlight w:val="cyan"/>
          <w:u w:val="single"/>
        </w:rPr>
        <w:t>not likely to need</w:t>
      </w:r>
      <w:r w:rsidRPr="00EE06DB">
        <w:rPr>
          <w:b/>
          <w:bCs/>
          <w:sz w:val="20"/>
          <w:szCs w:val="20"/>
          <w:u w:val="single"/>
        </w:rPr>
        <w:t xml:space="preserve"> IBC Review </w:t>
      </w:r>
    </w:p>
    <w:p w14:paraId="132B4D21" w14:textId="77777777" w:rsidR="00EE06DB" w:rsidRDefault="00EE06DB" w:rsidP="00EE06DB">
      <w:pPr>
        <w:pStyle w:val="Default"/>
        <w:rPr>
          <w:sz w:val="20"/>
          <w:szCs w:val="20"/>
        </w:rPr>
      </w:pPr>
      <w:r>
        <w:rPr>
          <w:sz w:val="20"/>
          <w:szCs w:val="20"/>
        </w:rPr>
        <w:t xml:space="preserve">• Genetic screening or testing (e.g. 23 and me) </w:t>
      </w:r>
    </w:p>
    <w:p w14:paraId="7F3AA940" w14:textId="77777777" w:rsidR="00EE06DB" w:rsidRDefault="00EE06DB" w:rsidP="00EE06DB">
      <w:pPr>
        <w:pStyle w:val="Default"/>
        <w:rPr>
          <w:sz w:val="20"/>
          <w:szCs w:val="20"/>
        </w:rPr>
      </w:pPr>
      <w:r>
        <w:rPr>
          <w:sz w:val="20"/>
          <w:szCs w:val="20"/>
        </w:rPr>
        <w:t xml:space="preserve">• Gene/genome sequencing </w:t>
      </w:r>
    </w:p>
    <w:p w14:paraId="087BFA48" w14:textId="77777777" w:rsidR="00EE06DB" w:rsidRDefault="00EE06DB" w:rsidP="00EE06DB">
      <w:pPr>
        <w:pStyle w:val="Default"/>
        <w:rPr>
          <w:sz w:val="20"/>
          <w:szCs w:val="20"/>
        </w:rPr>
      </w:pPr>
      <w:r>
        <w:rPr>
          <w:sz w:val="20"/>
          <w:szCs w:val="20"/>
        </w:rPr>
        <w:t xml:space="preserve">• Monoclonal </w:t>
      </w:r>
      <w:proofErr w:type="gramStart"/>
      <w:r>
        <w:rPr>
          <w:sz w:val="20"/>
          <w:szCs w:val="20"/>
        </w:rPr>
        <w:t>antibody based</w:t>
      </w:r>
      <w:proofErr w:type="gramEnd"/>
      <w:r>
        <w:rPr>
          <w:sz w:val="20"/>
          <w:szCs w:val="20"/>
        </w:rPr>
        <w:t xml:space="preserve"> therapy (Anything with a name ending in “Mab”) </w:t>
      </w:r>
    </w:p>
    <w:p w14:paraId="173D63B7" w14:textId="77777777" w:rsidR="00EE06DB" w:rsidRDefault="00EE06DB" w:rsidP="00EE06DB">
      <w:pPr>
        <w:pStyle w:val="Default"/>
        <w:rPr>
          <w:sz w:val="20"/>
          <w:szCs w:val="20"/>
        </w:rPr>
      </w:pPr>
      <w:r>
        <w:rPr>
          <w:sz w:val="20"/>
          <w:szCs w:val="20"/>
        </w:rPr>
        <w:t xml:space="preserve">• Tests that do not involve extraction and manipulation of genetic material (e.g. routine blood or urine tests) </w:t>
      </w:r>
    </w:p>
    <w:p w14:paraId="67328C43" w14:textId="77777777" w:rsidR="00EE06DB" w:rsidRDefault="00EE06DB" w:rsidP="001C49C5">
      <w:pPr>
        <w:spacing w:after="0" w:line="240" w:lineRule="auto"/>
        <w:jc w:val="center"/>
        <w:rPr>
          <w:b/>
          <w:bCs/>
          <w:u w:val="single"/>
        </w:rPr>
      </w:pPr>
    </w:p>
    <w:p w14:paraId="2539EB85" w14:textId="77777777" w:rsidR="00EE06DB" w:rsidRDefault="00EE06DB" w:rsidP="001C49C5">
      <w:pPr>
        <w:spacing w:after="0" w:line="240" w:lineRule="auto"/>
        <w:jc w:val="center"/>
        <w:rPr>
          <w:b/>
          <w:bCs/>
          <w:u w:val="single"/>
        </w:rPr>
      </w:pPr>
    </w:p>
    <w:p w14:paraId="25703D88" w14:textId="77777777" w:rsidR="00EE06DB" w:rsidRDefault="00EE06DB" w:rsidP="001C49C5">
      <w:pPr>
        <w:spacing w:after="0" w:line="240" w:lineRule="auto"/>
        <w:jc w:val="center"/>
        <w:rPr>
          <w:b/>
          <w:bCs/>
          <w:u w:val="single"/>
        </w:rPr>
      </w:pPr>
    </w:p>
    <w:p w14:paraId="29A09BBC" w14:textId="77777777" w:rsidR="00EE06DB" w:rsidRDefault="00EE06DB" w:rsidP="001C49C5">
      <w:pPr>
        <w:spacing w:after="0" w:line="240" w:lineRule="auto"/>
        <w:jc w:val="center"/>
        <w:rPr>
          <w:b/>
          <w:bCs/>
          <w:u w:val="single"/>
        </w:rPr>
      </w:pPr>
    </w:p>
    <w:p w14:paraId="7249E0B8" w14:textId="77777777" w:rsidR="00EE06DB" w:rsidRDefault="00EE06DB" w:rsidP="001C49C5">
      <w:pPr>
        <w:spacing w:after="0" w:line="240" w:lineRule="auto"/>
        <w:jc w:val="center"/>
        <w:rPr>
          <w:b/>
          <w:bCs/>
          <w:u w:val="single"/>
        </w:rPr>
      </w:pPr>
    </w:p>
    <w:p w14:paraId="119013A4" w14:textId="77777777" w:rsidR="005460A6" w:rsidRDefault="005460A6" w:rsidP="001C49C5">
      <w:pPr>
        <w:spacing w:after="0" w:line="240" w:lineRule="auto"/>
        <w:jc w:val="center"/>
        <w:rPr>
          <w:b/>
          <w:bCs/>
          <w:u w:val="single"/>
        </w:rPr>
      </w:pPr>
    </w:p>
    <w:p w14:paraId="099C6389" w14:textId="77777777" w:rsidR="00EE06DB" w:rsidRDefault="00EE06DB" w:rsidP="00EE06DB">
      <w:pPr>
        <w:spacing w:after="0" w:line="240" w:lineRule="auto"/>
        <w:rPr>
          <w:b/>
          <w:bCs/>
          <w:u w:val="single"/>
        </w:rPr>
      </w:pPr>
    </w:p>
    <w:p w14:paraId="6E78F176" w14:textId="55F3EB72" w:rsidR="001C49C5" w:rsidRPr="001C49C5" w:rsidRDefault="001C49C5" w:rsidP="001C49C5">
      <w:pPr>
        <w:spacing w:after="0" w:line="240" w:lineRule="auto"/>
        <w:jc w:val="center"/>
        <w:rPr>
          <w:b/>
          <w:bCs/>
          <w:u w:val="single"/>
        </w:rPr>
      </w:pPr>
      <w:r w:rsidRPr="001C49C5">
        <w:rPr>
          <w:b/>
          <w:bCs/>
          <w:u w:val="single"/>
        </w:rPr>
        <w:lastRenderedPageBreak/>
        <w:t xml:space="preserve">NIH GUIDELINES FOR RESEARCH </w:t>
      </w:r>
      <w:proofErr w:type="gramStart"/>
      <w:r w:rsidRPr="001C49C5">
        <w:rPr>
          <w:b/>
          <w:bCs/>
          <w:u w:val="single"/>
        </w:rPr>
        <w:t>INVOLVING  RECOMBINANT</w:t>
      </w:r>
      <w:proofErr w:type="gramEnd"/>
      <w:r w:rsidRPr="001C49C5">
        <w:rPr>
          <w:b/>
          <w:bCs/>
          <w:u w:val="single"/>
        </w:rPr>
        <w:t xml:space="preserve"> OR SYNTHETIC  NUCLEIC ACID MOLECULES </w:t>
      </w:r>
    </w:p>
    <w:p w14:paraId="5964AC76" w14:textId="0638FFD7" w:rsidR="001C49C5" w:rsidRPr="001C49C5" w:rsidRDefault="001C49C5" w:rsidP="001C49C5">
      <w:pPr>
        <w:spacing w:after="0" w:line="240" w:lineRule="auto"/>
        <w:jc w:val="center"/>
        <w:rPr>
          <w:sz w:val="18"/>
          <w:szCs w:val="18"/>
        </w:rPr>
      </w:pPr>
      <w:r w:rsidRPr="001C49C5">
        <w:rPr>
          <w:sz w:val="18"/>
          <w:szCs w:val="18"/>
        </w:rPr>
        <w:t>chrome-extension://efaidnbmnnnibpcajpcglclefindmkaj/https://osp.od.nih.gov/wp-content/uploads/NIH_Guidelines.pdf</w:t>
      </w:r>
    </w:p>
    <w:p w14:paraId="7FEEB0A0" w14:textId="77777777" w:rsidR="001C49C5" w:rsidRPr="001C49C5" w:rsidRDefault="001C49C5" w:rsidP="001C49C5">
      <w:pPr>
        <w:spacing w:after="120"/>
        <w:rPr>
          <w:b/>
          <w:bCs/>
        </w:rPr>
      </w:pPr>
    </w:p>
    <w:p w14:paraId="5AC17344" w14:textId="75C23A36" w:rsidR="001C49C5" w:rsidRPr="001C49C5" w:rsidRDefault="001C49C5" w:rsidP="001C49C5">
      <w:pPr>
        <w:spacing w:after="120"/>
        <w:rPr>
          <w:b/>
          <w:bCs/>
        </w:rPr>
      </w:pPr>
      <w:r w:rsidRPr="001C49C5">
        <w:rPr>
          <w:b/>
          <w:bCs/>
        </w:rPr>
        <w:t xml:space="preserve">Section III-C. Experiments Involving Human Gene Transfer that Require Institutional Biosafety Committee Approval Prior to Initiation </w:t>
      </w:r>
    </w:p>
    <w:p w14:paraId="42D7245A" w14:textId="77777777" w:rsidR="001C49C5" w:rsidRPr="001C49C5" w:rsidRDefault="001C49C5" w:rsidP="001C49C5">
      <w:pPr>
        <w:spacing w:after="120"/>
        <w:rPr>
          <w:b/>
          <w:bCs/>
        </w:rPr>
      </w:pPr>
      <w:r w:rsidRPr="001C49C5">
        <w:rPr>
          <w:b/>
          <w:bCs/>
        </w:rPr>
        <w:t xml:space="preserve">Section III-C-1. Experiments Involving the Deliberate Transfer of Recombinant or Synthetic Nucleic Acid Molecules, or DNA or RNA Derived from Recombinant or Synthetic Nucleic Acid Molecules, into One or More Human Research Participants </w:t>
      </w:r>
    </w:p>
    <w:p w14:paraId="098B54B8" w14:textId="77777777" w:rsidR="001C49C5" w:rsidRDefault="001C49C5" w:rsidP="001C49C5">
      <w:pPr>
        <w:spacing w:after="120"/>
      </w:pPr>
      <w:r w:rsidRPr="001C49C5">
        <w:t xml:space="preserve">Human gene transfer is the deliberate transfer into human research participants of either:  </w:t>
      </w:r>
    </w:p>
    <w:p w14:paraId="6BD7CCC8" w14:textId="77777777" w:rsidR="001C49C5" w:rsidRDefault="001C49C5" w:rsidP="001C49C5">
      <w:pPr>
        <w:spacing w:after="120"/>
        <w:ind w:left="720"/>
      </w:pPr>
      <w:r w:rsidRPr="001C49C5">
        <w:t xml:space="preserve">1) </w:t>
      </w:r>
      <w:r w:rsidRPr="001C49C5">
        <w:rPr>
          <w:highlight w:val="yellow"/>
        </w:rPr>
        <w:t>Recombinant</w:t>
      </w:r>
      <w:r w:rsidRPr="001C49C5">
        <w:t xml:space="preserve"> nucleic acid molecules, or DNA or RNA derived from recombinant nucleic acid molecules, or  </w:t>
      </w:r>
    </w:p>
    <w:p w14:paraId="078EE855" w14:textId="77777777" w:rsidR="001C49C5" w:rsidRDefault="001C49C5" w:rsidP="001C49C5">
      <w:pPr>
        <w:spacing w:after="120"/>
        <w:ind w:left="720"/>
      </w:pPr>
      <w:r w:rsidRPr="001C49C5">
        <w:t xml:space="preserve">2) Synthetic nucleic acid molecules, or DNA or RNA derived from synthetic nucleic acid molecules, that meet any one of the following criteria:  a) </w:t>
      </w:r>
      <w:r w:rsidRPr="001C49C5">
        <w:rPr>
          <w:highlight w:val="yellow"/>
        </w:rPr>
        <w:t>Contain more than 100 nucleotides</w:t>
      </w:r>
      <w:r w:rsidRPr="001C49C5">
        <w:t xml:space="preserve">; or  b) Possess biological properties that enable introduction of stable genetic modifications into the genome (e.g., cis elements involved in integration, gene editing); or  c) Have the potential to replicate in a cell; or  d) Can be translated or transcribed.  </w:t>
      </w:r>
    </w:p>
    <w:p w14:paraId="65D974B8" w14:textId="50D7F2EA" w:rsidR="001C49C5" w:rsidRDefault="001C49C5" w:rsidP="001C49C5">
      <w:pPr>
        <w:spacing w:after="120"/>
      </w:pPr>
      <w:r w:rsidRPr="001C49C5">
        <w:t>Research cannot be initiated until Institutional Biosafety Committee and all other applicable institutional and regulatory authorization(s) and approvals have been obtained.</w:t>
      </w:r>
    </w:p>
    <w:p w14:paraId="42886BD3" w14:textId="77864998" w:rsidR="001C49C5" w:rsidRPr="003E5CE7" w:rsidRDefault="001C49C5" w:rsidP="001C49C5">
      <w:pPr>
        <w:spacing w:after="120"/>
      </w:pPr>
      <w:r w:rsidRPr="001C49C5">
        <w:t>The deliberate transfer of recombinant or synthetic nucleic acids into one human research participant, conducted under a Food and Drug Administration (FDA) regulated individual patient expanded access Investigational New Drug (IND) or protocol, including for emergency use, is not research subject to the NIH Guidelines and thus does not need to be submitted to an IBC for review and approval.</w:t>
      </w:r>
    </w:p>
    <w:sectPr w:rsidR="001C49C5" w:rsidRPr="003E5CE7" w:rsidSect="00BF71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40D17"/>
    <w:multiLevelType w:val="hybridMultilevel"/>
    <w:tmpl w:val="9718E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102063"/>
    <w:multiLevelType w:val="hybridMultilevel"/>
    <w:tmpl w:val="441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85264"/>
    <w:multiLevelType w:val="hybridMultilevel"/>
    <w:tmpl w:val="A726D24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53710"/>
    <w:multiLevelType w:val="hybridMultilevel"/>
    <w:tmpl w:val="61124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31744"/>
    <w:multiLevelType w:val="hybridMultilevel"/>
    <w:tmpl w:val="706A10A8"/>
    <w:lvl w:ilvl="0" w:tplc="DE4E0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360470">
    <w:abstractNumId w:val="2"/>
  </w:num>
  <w:num w:numId="2" w16cid:durableId="1393237339">
    <w:abstractNumId w:val="4"/>
  </w:num>
  <w:num w:numId="3" w16cid:durableId="110975793">
    <w:abstractNumId w:val="0"/>
  </w:num>
  <w:num w:numId="4" w16cid:durableId="561914524">
    <w:abstractNumId w:val="3"/>
  </w:num>
  <w:num w:numId="5" w16cid:durableId="928386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060B"/>
    <w:rsid w:val="00046F61"/>
    <w:rsid w:val="00052420"/>
    <w:rsid w:val="00074406"/>
    <w:rsid w:val="000A6E9B"/>
    <w:rsid w:val="000A7115"/>
    <w:rsid w:val="000D6CC2"/>
    <w:rsid w:val="00132265"/>
    <w:rsid w:val="0016597D"/>
    <w:rsid w:val="001C49C5"/>
    <w:rsid w:val="001C7C82"/>
    <w:rsid w:val="001E1A3E"/>
    <w:rsid w:val="00220926"/>
    <w:rsid w:val="002410C5"/>
    <w:rsid w:val="0029117F"/>
    <w:rsid w:val="002A7F40"/>
    <w:rsid w:val="002D3446"/>
    <w:rsid w:val="002F6555"/>
    <w:rsid w:val="003E5CE7"/>
    <w:rsid w:val="00417E6B"/>
    <w:rsid w:val="00432A51"/>
    <w:rsid w:val="00434538"/>
    <w:rsid w:val="00446DE1"/>
    <w:rsid w:val="004C6E09"/>
    <w:rsid w:val="005340C2"/>
    <w:rsid w:val="00542ED8"/>
    <w:rsid w:val="005460A6"/>
    <w:rsid w:val="005756A2"/>
    <w:rsid w:val="00577704"/>
    <w:rsid w:val="005C2E5B"/>
    <w:rsid w:val="005D357A"/>
    <w:rsid w:val="005D77E5"/>
    <w:rsid w:val="005F67C4"/>
    <w:rsid w:val="00606F8C"/>
    <w:rsid w:val="00632A2B"/>
    <w:rsid w:val="0063672B"/>
    <w:rsid w:val="006407BE"/>
    <w:rsid w:val="00652A1C"/>
    <w:rsid w:val="00690693"/>
    <w:rsid w:val="006A183B"/>
    <w:rsid w:val="006D1098"/>
    <w:rsid w:val="00700339"/>
    <w:rsid w:val="007254B7"/>
    <w:rsid w:val="00732A9D"/>
    <w:rsid w:val="007642F0"/>
    <w:rsid w:val="00770231"/>
    <w:rsid w:val="007713ED"/>
    <w:rsid w:val="007C6BF2"/>
    <w:rsid w:val="00811E8D"/>
    <w:rsid w:val="008708A8"/>
    <w:rsid w:val="00877B57"/>
    <w:rsid w:val="008C2580"/>
    <w:rsid w:val="008D20DB"/>
    <w:rsid w:val="008E11FC"/>
    <w:rsid w:val="00916127"/>
    <w:rsid w:val="009257A4"/>
    <w:rsid w:val="00925E39"/>
    <w:rsid w:val="009325B8"/>
    <w:rsid w:val="00943475"/>
    <w:rsid w:val="00955729"/>
    <w:rsid w:val="00987431"/>
    <w:rsid w:val="00993879"/>
    <w:rsid w:val="00994CB5"/>
    <w:rsid w:val="009B38C3"/>
    <w:rsid w:val="009D2FA5"/>
    <w:rsid w:val="009D59A5"/>
    <w:rsid w:val="00A35CF2"/>
    <w:rsid w:val="00A90CA8"/>
    <w:rsid w:val="00AC621F"/>
    <w:rsid w:val="00AD1109"/>
    <w:rsid w:val="00AF4255"/>
    <w:rsid w:val="00B94634"/>
    <w:rsid w:val="00BC0E34"/>
    <w:rsid w:val="00BD27F5"/>
    <w:rsid w:val="00BE060B"/>
    <w:rsid w:val="00BF7113"/>
    <w:rsid w:val="00C5652C"/>
    <w:rsid w:val="00C84785"/>
    <w:rsid w:val="00C8633A"/>
    <w:rsid w:val="00CC7ECD"/>
    <w:rsid w:val="00CD61DC"/>
    <w:rsid w:val="00CE6352"/>
    <w:rsid w:val="00CF5BEA"/>
    <w:rsid w:val="00D065D2"/>
    <w:rsid w:val="00D57A2B"/>
    <w:rsid w:val="00D63952"/>
    <w:rsid w:val="00D802D8"/>
    <w:rsid w:val="00DA063F"/>
    <w:rsid w:val="00DA462E"/>
    <w:rsid w:val="00E20C5E"/>
    <w:rsid w:val="00E215E5"/>
    <w:rsid w:val="00E25C0B"/>
    <w:rsid w:val="00E317D2"/>
    <w:rsid w:val="00E40EE2"/>
    <w:rsid w:val="00E42287"/>
    <w:rsid w:val="00E67F80"/>
    <w:rsid w:val="00EB6F0D"/>
    <w:rsid w:val="00EE06DB"/>
    <w:rsid w:val="00EE409A"/>
    <w:rsid w:val="00F61411"/>
    <w:rsid w:val="00FA63C8"/>
    <w:rsid w:val="00FD0DE0"/>
    <w:rsid w:val="00FF6087"/>
    <w:rsid w:val="00FF7A0B"/>
    <w:rsid w:val="020B8282"/>
    <w:rsid w:val="037D4695"/>
    <w:rsid w:val="0509A965"/>
    <w:rsid w:val="07365810"/>
    <w:rsid w:val="0A77E175"/>
    <w:rsid w:val="0BE7B3EF"/>
    <w:rsid w:val="0C421213"/>
    <w:rsid w:val="0D8FB0C8"/>
    <w:rsid w:val="12A8A877"/>
    <w:rsid w:val="13177121"/>
    <w:rsid w:val="18D77788"/>
    <w:rsid w:val="1BAF339E"/>
    <w:rsid w:val="1E90D21F"/>
    <w:rsid w:val="1EFA6AAE"/>
    <w:rsid w:val="20CAF32A"/>
    <w:rsid w:val="21B233CD"/>
    <w:rsid w:val="229949F5"/>
    <w:rsid w:val="24AF061E"/>
    <w:rsid w:val="25618527"/>
    <w:rsid w:val="25CB987A"/>
    <w:rsid w:val="26A69645"/>
    <w:rsid w:val="2724347A"/>
    <w:rsid w:val="2903393C"/>
    <w:rsid w:val="2C3B0B2D"/>
    <w:rsid w:val="2C42C784"/>
    <w:rsid w:val="2DB90C0D"/>
    <w:rsid w:val="2DDE97E5"/>
    <w:rsid w:val="2E3D3E2F"/>
    <w:rsid w:val="311638A7"/>
    <w:rsid w:val="32AA1B82"/>
    <w:rsid w:val="3539AED6"/>
    <w:rsid w:val="35D0816D"/>
    <w:rsid w:val="35F6EF50"/>
    <w:rsid w:val="3688BD7F"/>
    <w:rsid w:val="36FEE551"/>
    <w:rsid w:val="37C1134B"/>
    <w:rsid w:val="39173144"/>
    <w:rsid w:val="3A0B0295"/>
    <w:rsid w:val="3A863202"/>
    <w:rsid w:val="3B8FC7FD"/>
    <w:rsid w:val="3C4ED206"/>
    <w:rsid w:val="3CFECCFA"/>
    <w:rsid w:val="3E213024"/>
    <w:rsid w:val="422BD7E8"/>
    <w:rsid w:val="42A1D0F0"/>
    <w:rsid w:val="438B936F"/>
    <w:rsid w:val="439AD9E2"/>
    <w:rsid w:val="448AA0C6"/>
    <w:rsid w:val="44F085BB"/>
    <w:rsid w:val="4536AA43"/>
    <w:rsid w:val="4584EBA4"/>
    <w:rsid w:val="45CDFF95"/>
    <w:rsid w:val="47633376"/>
    <w:rsid w:val="4A7DD265"/>
    <w:rsid w:val="4DBC06E0"/>
    <w:rsid w:val="4EE57A0F"/>
    <w:rsid w:val="521D1AD1"/>
    <w:rsid w:val="544FBDC9"/>
    <w:rsid w:val="55EC539E"/>
    <w:rsid w:val="56D76397"/>
    <w:rsid w:val="59336288"/>
    <w:rsid w:val="5D5FCD78"/>
    <w:rsid w:val="5E8F6AE4"/>
    <w:rsid w:val="60559656"/>
    <w:rsid w:val="6087904F"/>
    <w:rsid w:val="60FD90AD"/>
    <w:rsid w:val="6568B39B"/>
    <w:rsid w:val="68914548"/>
    <w:rsid w:val="6F535DE0"/>
    <w:rsid w:val="71ED1BFA"/>
    <w:rsid w:val="720A5BE9"/>
    <w:rsid w:val="744582E4"/>
    <w:rsid w:val="74BFCD5C"/>
    <w:rsid w:val="75FFD877"/>
    <w:rsid w:val="76B9C5EE"/>
    <w:rsid w:val="793E69A5"/>
    <w:rsid w:val="7A6C0A6B"/>
    <w:rsid w:val="7DB286C9"/>
    <w:rsid w:val="7F414A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A448"/>
  <w15:docId w15:val="{429E135C-A1F3-4804-98FD-0C19D8F5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A3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5D77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6">
    <w:name w:val="Grid Table 4 Accent 6"/>
    <w:basedOn w:val="TableNormal"/>
    <w:uiPriority w:val="49"/>
    <w:rsid w:val="00417E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652A1C"/>
    <w:rPr>
      <w:color w:val="0563C1" w:themeColor="hyperlink"/>
      <w:u w:val="single"/>
    </w:rPr>
  </w:style>
  <w:style w:type="character" w:styleId="UnresolvedMention">
    <w:name w:val="Unresolved Mention"/>
    <w:basedOn w:val="DefaultParagraphFont"/>
    <w:uiPriority w:val="99"/>
    <w:semiHidden/>
    <w:unhideWhenUsed/>
    <w:rsid w:val="00652A1C"/>
    <w:rPr>
      <w:color w:val="605E5C"/>
      <w:shd w:val="clear" w:color="auto" w:fill="E1DFDD"/>
    </w:rPr>
  </w:style>
  <w:style w:type="paragraph" w:customStyle="1" w:styleId="Default">
    <w:name w:val="Default"/>
    <w:rsid w:val="00EE06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xf147@miami.edu" TargetMode="External"/><Relationship Id="rId4" Type="http://schemas.openxmlformats.org/officeDocument/2006/relationships/customXml" Target="../customXml/item4.xml"/><Relationship Id="rId9" Type="http://schemas.openxmlformats.org/officeDocument/2006/relationships/hyperlink" Target="mailto:TCTPrimaryInvestigators@miamiedu.on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d5b8a2-77ae-466e-92bc-5602b3619fcd">
      <Terms xmlns="http://schemas.microsoft.com/office/infopath/2007/PartnerControls"/>
    </lcf76f155ced4ddcb4097134ff3c332f>
    <m9xt xmlns="ccd5b8a2-77ae-466e-92bc-5602b3619fcd" xsi:nil="true"/>
    <TaxCatchAll xmlns="ea0cdc02-88fc-43e5-a1dd-f6bc0923b1ff" xsi:nil="true"/>
    <SharedWithUsers xmlns="ea0cdc02-88fc-43e5-a1dd-f6bc0923b1ff">
      <UserInfo>
        <DisplayName>Kimmel, Andrew David</DisplayName>
        <AccountId>56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7FE2BD2FBAFF4495058DC242AEDB16" ma:contentTypeVersion="15" ma:contentTypeDescription="Create a new document." ma:contentTypeScope="" ma:versionID="fb2ce8c2208659f23a4257767a4d5b4b">
  <xsd:schema xmlns:xsd="http://www.w3.org/2001/XMLSchema" xmlns:xs="http://www.w3.org/2001/XMLSchema" xmlns:p="http://schemas.microsoft.com/office/2006/metadata/properties" xmlns:ns2="ccd5b8a2-77ae-466e-92bc-5602b3619fcd" xmlns:ns3="ea0cdc02-88fc-43e5-a1dd-f6bc0923b1ff" targetNamespace="http://schemas.microsoft.com/office/2006/metadata/properties" ma:root="true" ma:fieldsID="0db3d06ad0c3ca0fe822c9047949a9d5" ns2:_="" ns3:_="">
    <xsd:import namespace="ccd5b8a2-77ae-466e-92bc-5602b3619fcd"/>
    <xsd:import namespace="ea0cdc02-88fc-43e5-a1dd-f6bc0923b1ff"/>
    <xsd:element name="properties">
      <xsd:complexType>
        <xsd:sequence>
          <xsd:element name="documentManagement">
            <xsd:complexType>
              <xsd:all>
                <xsd:element ref="ns2:MediaServiceMetadata" minOccurs="0"/>
                <xsd:element ref="ns2:MediaServiceFastMetadata" minOccurs="0"/>
                <xsd:element ref="ns2:m9xt"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5b8a2-77ae-466e-92bc-5602b361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9xt" ma:index="10" nillable="true" ma:displayName="Date and Time" ma:internalName="m9xt">
      <xsd:simpleType>
        <xsd:restriction base="dms:DateTim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f97491-7d14-4104-886e-d82bd7da0a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0cdc02-88fc-43e5-a1dd-f6bc0923b1f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4ae345-386e-4f78-bac7-5d8e3e106744}" ma:internalName="TaxCatchAll" ma:showField="CatchAllData" ma:web="ea0cdc02-88fc-43e5-a1dd-f6bc0923b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7E468-6029-4DC9-A961-803B616E946B}">
  <ds:schemaRefs>
    <ds:schemaRef ds:uri="http://schemas.microsoft.com/sharepoint/v3/contenttype/forms"/>
  </ds:schemaRefs>
</ds:datastoreItem>
</file>

<file path=customXml/itemProps2.xml><?xml version="1.0" encoding="utf-8"?>
<ds:datastoreItem xmlns:ds="http://schemas.openxmlformats.org/officeDocument/2006/customXml" ds:itemID="{AB64466E-11E6-43EA-8DAF-7EB3B1DD90B5}">
  <ds:schemaRefs>
    <ds:schemaRef ds:uri="http://schemas.microsoft.com/office/2006/metadata/properties"/>
    <ds:schemaRef ds:uri="http://schemas.microsoft.com/office/infopath/2007/PartnerControls"/>
    <ds:schemaRef ds:uri="ccd5b8a2-77ae-466e-92bc-5602b3619fcd"/>
    <ds:schemaRef ds:uri="ea0cdc02-88fc-43e5-a1dd-f6bc0923b1ff"/>
  </ds:schemaRefs>
</ds:datastoreItem>
</file>

<file path=customXml/itemProps3.xml><?xml version="1.0" encoding="utf-8"?>
<ds:datastoreItem xmlns:ds="http://schemas.openxmlformats.org/officeDocument/2006/customXml" ds:itemID="{FE41A82B-22E4-409D-AE38-8E16F3829453}">
  <ds:schemaRefs>
    <ds:schemaRef ds:uri="http://schemas.openxmlformats.org/officeDocument/2006/bibliography"/>
  </ds:schemaRefs>
</ds:datastoreItem>
</file>

<file path=customXml/itemProps4.xml><?xml version="1.0" encoding="utf-8"?>
<ds:datastoreItem xmlns:ds="http://schemas.openxmlformats.org/officeDocument/2006/customXml" ds:itemID="{71C8F6AF-22C1-44EC-A15A-0A9EEC87E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5b8a2-77ae-466e-92bc-5602b3619fcd"/>
    <ds:schemaRef ds:uri="ea0cdc02-88fc-43e5-a1dd-f6bc0923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Kimmel, Andrew David</dc:creator>
  <cp:keywords/>
  <dc:description/>
  <cp:lastModifiedBy>Chehal, Sim Kaur</cp:lastModifiedBy>
  <cp:revision>1</cp:revision>
  <dcterms:created xsi:type="dcterms:W3CDTF">2024-04-16T14:39:00Z</dcterms:created>
  <dcterms:modified xsi:type="dcterms:W3CDTF">2024-06-18T23:12:00Z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0x0101001C7FE2BD2FBAFF4495058DC242AEDB16</vt:lpwstr>
  </property>
  <property fmtid="{D5CDD505-2E9C-101B-9397-08002B2CF9AE}" pid="3" name="MediaServiceImageTags">
    <vt:lpwstr/>
  </property>
</Properties>
</file>